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D3F" w:rsidRPr="002F3C88" w:rsidRDefault="00654D3F" w:rsidP="00654D3F">
      <w:pPr>
        <w:jc w:val="both"/>
        <w:rPr>
          <w:b/>
          <w:sz w:val="28"/>
          <w:szCs w:val="28"/>
        </w:rPr>
      </w:pPr>
      <w:r w:rsidRPr="002F3C88">
        <w:rPr>
          <w:b/>
          <w:noProof/>
          <w:sz w:val="28"/>
          <w:szCs w:val="28"/>
          <w:lang w:eastAsia="en-AU"/>
        </w:rPr>
        <w:drawing>
          <wp:anchor distT="0" distB="0" distL="114300" distR="114300" simplePos="0" relativeHeight="251659264" behindDoc="1" locked="0" layoutInCell="1" allowOverlap="1" wp14:anchorId="4A399435" wp14:editId="1DF7A1FA">
            <wp:simplePos x="0" y="0"/>
            <wp:positionH relativeFrom="page">
              <wp:posOffset>-523875</wp:posOffset>
            </wp:positionH>
            <wp:positionV relativeFrom="page">
              <wp:posOffset>85725</wp:posOffset>
            </wp:positionV>
            <wp:extent cx="7559040" cy="1079500"/>
            <wp:effectExtent l="0" t="0" r="3810" b="6350"/>
            <wp:wrapNone/>
            <wp:docPr id="5" name="Picture 5" descr=" eLH_Header 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eLH_Header All.jpg"/>
                    <pic:cNvPicPr/>
                  </pic:nvPicPr>
                  <pic:blipFill>
                    <a:blip r:embed="rId8"/>
                    <a:stretch>
                      <a:fillRect/>
                    </a:stretch>
                  </pic:blipFill>
                  <pic:spPr>
                    <a:xfrm>
                      <a:off x="0" y="0"/>
                      <a:ext cx="7559040" cy="1079500"/>
                    </a:xfrm>
                    <a:prstGeom prst="rect">
                      <a:avLst/>
                    </a:prstGeom>
                  </pic:spPr>
                </pic:pic>
              </a:graphicData>
            </a:graphic>
          </wp:anchor>
        </w:drawing>
      </w:r>
      <w:r w:rsidR="002F3C88" w:rsidRPr="002F3C88">
        <w:rPr>
          <w:b/>
          <w:noProof/>
          <w:sz w:val="28"/>
          <w:szCs w:val="28"/>
          <w:lang w:eastAsia="en-AU"/>
        </w:rPr>
        <w:t>Executive summary</w:t>
      </w:r>
    </w:p>
    <w:p w:rsidR="00A97CE8" w:rsidRPr="002F3C88" w:rsidRDefault="002F3C88" w:rsidP="002F3C88">
      <w:pPr>
        <w:spacing w:before="160" w:after="80"/>
        <w:rPr>
          <w:b/>
          <w:sz w:val="26"/>
          <w:szCs w:val="26"/>
        </w:rPr>
      </w:pPr>
      <w:r w:rsidRPr="002F3C88">
        <w:rPr>
          <w:b/>
          <w:sz w:val="26"/>
          <w:szCs w:val="26"/>
        </w:rPr>
        <w:t xml:space="preserve">The </w:t>
      </w:r>
      <w:r w:rsidR="00A97CE8" w:rsidRPr="002F3C88">
        <w:rPr>
          <w:b/>
          <w:sz w:val="26"/>
          <w:szCs w:val="26"/>
        </w:rPr>
        <w:t xml:space="preserve">effects of </w:t>
      </w:r>
      <w:r w:rsidR="00654D3F" w:rsidRPr="002F3C88">
        <w:rPr>
          <w:b/>
          <w:sz w:val="26"/>
          <w:szCs w:val="26"/>
        </w:rPr>
        <w:t>teacher</w:t>
      </w:r>
      <w:r w:rsidR="00AA1BCF" w:rsidRPr="002F3C88">
        <w:rPr>
          <w:b/>
          <w:sz w:val="26"/>
          <w:szCs w:val="26"/>
        </w:rPr>
        <w:t>/trainer</w:t>
      </w:r>
      <w:r w:rsidR="00654D3F" w:rsidRPr="002F3C88">
        <w:rPr>
          <w:b/>
          <w:sz w:val="26"/>
          <w:szCs w:val="26"/>
        </w:rPr>
        <w:t xml:space="preserve"> qualifications </w:t>
      </w:r>
      <w:r w:rsidR="00A97CE8" w:rsidRPr="002F3C88">
        <w:rPr>
          <w:b/>
          <w:sz w:val="26"/>
          <w:szCs w:val="26"/>
        </w:rPr>
        <w:t xml:space="preserve">on </w:t>
      </w:r>
      <w:r w:rsidR="00654D3F" w:rsidRPr="002F3C88">
        <w:rPr>
          <w:b/>
          <w:sz w:val="26"/>
          <w:szCs w:val="26"/>
        </w:rPr>
        <w:t>the quality of VET teaching</w:t>
      </w:r>
      <w:r w:rsidRPr="002F3C88">
        <w:rPr>
          <w:b/>
          <w:sz w:val="26"/>
          <w:szCs w:val="26"/>
        </w:rPr>
        <w:t>/training</w:t>
      </w:r>
    </w:p>
    <w:p w:rsidR="00654D3F" w:rsidRDefault="00DE70D9" w:rsidP="00A97CE8">
      <w:pPr>
        <w:spacing w:after="80"/>
        <w:rPr>
          <w:i/>
        </w:rPr>
      </w:pPr>
      <w:r>
        <w:rPr>
          <w:i/>
        </w:rPr>
        <w:t xml:space="preserve">Contact: Professor Erica Smith, 03-5327 9665 </w:t>
      </w:r>
      <w:hyperlink r:id="rId9" w:history="1">
        <w:r w:rsidR="00DA0CC4" w:rsidRPr="008071DA">
          <w:rPr>
            <w:rStyle w:val="Hyperlink"/>
            <w:i/>
          </w:rPr>
          <w:t>e.smith@federation.edu.au</w:t>
        </w:r>
      </w:hyperlink>
    </w:p>
    <w:p w:rsidR="00D71425" w:rsidRPr="00A30961" w:rsidRDefault="00A97CE8" w:rsidP="00331C1D">
      <w:pPr>
        <w:spacing w:after="80"/>
      </w:pPr>
      <w:r w:rsidRPr="00A30961">
        <w:t xml:space="preserve">Prior to </w:t>
      </w:r>
      <w:r w:rsidR="00A30961">
        <w:t xml:space="preserve">the </w:t>
      </w:r>
      <w:r w:rsidRPr="00A30961">
        <w:t xml:space="preserve">mid-1990s most full-time TAFE teachers </w:t>
      </w:r>
      <w:r w:rsidR="002F3C88">
        <w:t xml:space="preserve">in Australia </w:t>
      </w:r>
      <w:r w:rsidRPr="00A30961">
        <w:t>undertook ‘in-service’ VET/adult education degrees</w:t>
      </w:r>
      <w:r w:rsidR="00BF6865">
        <w:t xml:space="preserve"> (i.e. after starting work in TAFE)</w:t>
      </w:r>
      <w:r w:rsidRPr="00A30961">
        <w:t>.</w:t>
      </w:r>
      <w:r w:rsidR="00A30961">
        <w:t xml:space="preserve">  With the a</w:t>
      </w:r>
      <w:r w:rsidRPr="00A30961">
        <w:t>dvent of the requirement for a Certificate</w:t>
      </w:r>
      <w:r w:rsidR="00A30961">
        <w:t xml:space="preserve"> IV level qualification in 1998, </w:t>
      </w:r>
      <w:r w:rsidRPr="00A30961">
        <w:t>TAFE gradually stopped requiring degrees.</w:t>
      </w:r>
      <w:r w:rsidR="00A30961">
        <w:t xml:space="preserve"> </w:t>
      </w:r>
      <w:r w:rsidRPr="00A30961">
        <w:t xml:space="preserve">Private and community training providers </w:t>
      </w:r>
      <w:r w:rsidR="00A30961">
        <w:t xml:space="preserve">do not </w:t>
      </w:r>
      <w:r w:rsidRPr="00A30961">
        <w:t xml:space="preserve">have </w:t>
      </w:r>
      <w:r w:rsidR="00A30961">
        <w:t>any general requirement for VET t</w:t>
      </w:r>
      <w:r w:rsidRPr="00A30961">
        <w:t>eaching qualifications.</w:t>
      </w:r>
      <w:r w:rsidR="00A30961">
        <w:t xml:space="preserve"> </w:t>
      </w:r>
      <w:r w:rsidRPr="00A30961">
        <w:t>Now, about 1000 people undertake higher education qual</w:t>
      </w:r>
      <w:r w:rsidR="00A30961">
        <w:t>ification</w:t>
      </w:r>
      <w:r w:rsidRPr="00A30961">
        <w:t xml:space="preserve">s in VET pedagogy </w:t>
      </w:r>
      <w:r w:rsidR="0008335D">
        <w:t xml:space="preserve">(teaching and training) </w:t>
      </w:r>
      <w:r w:rsidRPr="00A30961">
        <w:t xml:space="preserve">voluntarily, at around 10 universities. </w:t>
      </w:r>
      <w:r w:rsidR="00A30961">
        <w:t>Some teachers have higher-level qualifications in the</w:t>
      </w:r>
      <w:r w:rsidR="00DA4740">
        <w:t>ir</w:t>
      </w:r>
      <w:r w:rsidR="00A30961">
        <w:t xml:space="preserve"> industry or discipline area. </w:t>
      </w:r>
    </w:p>
    <w:p w:rsidR="00E85E37" w:rsidRDefault="00A30961" w:rsidP="00331C1D">
      <w:pPr>
        <w:spacing w:after="80"/>
      </w:pPr>
      <w:r>
        <w:t>Does the relatively low qualification level of the VET workforce affect the quality of VET teaching or of VET more generally</w:t>
      </w:r>
      <w:r w:rsidR="00331C1D">
        <w:rPr>
          <w:rStyle w:val="FootnoteReference"/>
        </w:rPr>
        <w:footnoteReference w:id="1"/>
      </w:r>
      <w:r>
        <w:t xml:space="preserve">? </w:t>
      </w:r>
      <w:r w:rsidR="00654D3F" w:rsidRPr="00645420">
        <w:t xml:space="preserve">Evidence is </w:t>
      </w:r>
      <w:r w:rsidR="00654D3F">
        <w:t>provided here</w:t>
      </w:r>
      <w:r w:rsidR="00654D3F" w:rsidRPr="00645420">
        <w:t xml:space="preserve"> from a national research project undertaken between 2015 and 2017</w:t>
      </w:r>
      <w:r w:rsidR="00654D3F">
        <w:t xml:space="preserve">. </w:t>
      </w:r>
      <w:r w:rsidR="00654D3F" w:rsidRPr="00645420">
        <w:t>The project was funded by the Australian Research Council (LP1401000440), and a number of partnering organisations from the VET sector</w:t>
      </w:r>
      <w:r>
        <w:t>: ACPET, VET Development Centre, NCVER, TAFE Queensland and Federation Training</w:t>
      </w:r>
      <w:r w:rsidR="00654D3F" w:rsidRPr="00645420">
        <w:t xml:space="preserve">.  </w:t>
      </w:r>
      <w:r>
        <w:t>The researchers were: Erica Smith and</w:t>
      </w:r>
      <w:r w:rsidR="00654D3F">
        <w:t xml:space="preserve"> Jackie Tuck</w:t>
      </w:r>
      <w:r>
        <w:t xml:space="preserve"> </w:t>
      </w:r>
      <w:r w:rsidR="00F625F5">
        <w:t>(</w:t>
      </w:r>
      <w:r w:rsidR="00331C1D">
        <w:t>Fed</w:t>
      </w:r>
      <w:r>
        <w:t>Uni)</w:t>
      </w:r>
      <w:r w:rsidR="00654D3F">
        <w:t xml:space="preserve">, Keiko Yasukawa </w:t>
      </w:r>
      <w:r>
        <w:t xml:space="preserve">(UTS) </w:t>
      </w:r>
      <w:r w:rsidR="00654D3F">
        <w:t>and Roger Harris</w:t>
      </w:r>
      <w:r>
        <w:t xml:space="preserve"> (UniSA)</w:t>
      </w:r>
      <w:r w:rsidR="00DE067F">
        <w:rPr>
          <w:rStyle w:val="FootnoteReference"/>
        </w:rPr>
        <w:footnoteReference w:id="2"/>
      </w:r>
      <w:r w:rsidR="00654D3F">
        <w:t xml:space="preserve">. </w:t>
      </w:r>
      <w:r>
        <w:t>The research was supported by the peak bodies of all types of Registered Training Organisation (RTO), who encouraged their member RTOs to participate.</w:t>
      </w:r>
      <w:r w:rsidR="00421D86">
        <w:t xml:space="preserve"> </w:t>
      </w:r>
    </w:p>
    <w:p w:rsidR="00421D86" w:rsidRPr="00421D86" w:rsidRDefault="00421D86" w:rsidP="00421D86">
      <w:pPr>
        <w:shd w:val="clear" w:color="auto" w:fill="FFFFFF" w:themeFill="background1"/>
        <w:spacing w:after="80" w:line="254" w:lineRule="auto"/>
      </w:pPr>
      <w:r>
        <w:t xml:space="preserve">The project web site is at </w:t>
      </w:r>
      <w:hyperlink r:id="rId10" w:tgtFrame="_blank" w:history="1">
        <w:r>
          <w:rPr>
            <w:rStyle w:val="Hyperlink"/>
            <w:rFonts w:eastAsiaTheme="minorEastAsia"/>
            <w:noProof/>
            <w:sz w:val="18"/>
            <w:szCs w:val="18"/>
            <w:lang w:eastAsia="en-AU"/>
          </w:rPr>
          <w:t>http://federation.edu.au/research-vet-quality</w:t>
        </w:r>
      </w:hyperlink>
      <w:r w:rsidRPr="00421D86">
        <w:rPr>
          <w:rStyle w:val="Hyperlink"/>
          <w:rFonts w:eastAsiaTheme="minorEastAsia"/>
          <w:noProof/>
          <w:sz w:val="18"/>
          <w:szCs w:val="18"/>
          <w:u w:val="none"/>
          <w:lang w:eastAsia="en-AU"/>
        </w:rPr>
        <w:t xml:space="preserve">. </w:t>
      </w:r>
      <w:r w:rsidRPr="00421D86">
        <w:rPr>
          <w:rStyle w:val="Hyperlink"/>
          <w:rFonts w:eastAsiaTheme="minorEastAsia"/>
          <w:noProof/>
          <w:color w:val="auto"/>
          <w:u w:val="none"/>
          <w:lang w:eastAsia="en-AU"/>
        </w:rPr>
        <w:t>Its research questions were:</w:t>
      </w:r>
    </w:p>
    <w:p w:rsidR="00654D3F" w:rsidRPr="00385E12" w:rsidRDefault="00654D3F" w:rsidP="00654D3F">
      <w:pPr>
        <w:numPr>
          <w:ilvl w:val="0"/>
          <w:numId w:val="1"/>
        </w:numPr>
        <w:spacing w:after="60"/>
        <w:contextualSpacing/>
      </w:pPr>
      <w:r w:rsidRPr="00385E12">
        <w:t>What differences do VET teachers’ levels of qualification (both pedagogical and</w:t>
      </w:r>
      <w:r w:rsidR="0008335D">
        <w:t xml:space="preserve"> in</w:t>
      </w:r>
      <w:r w:rsidRPr="00385E12">
        <w:t xml:space="preserve"> discipline</w:t>
      </w:r>
      <w:r w:rsidR="00A30961">
        <w:t>/</w:t>
      </w:r>
      <w:r w:rsidR="0008335D">
        <w:t xml:space="preserve"> </w:t>
      </w:r>
      <w:r w:rsidR="00A30961">
        <w:t>industry</w:t>
      </w:r>
      <w:r w:rsidR="0008335D">
        <w:t xml:space="preserve"> areas)</w:t>
      </w:r>
      <w:r w:rsidRPr="00385E12">
        <w:t xml:space="preserve"> make to their teaching concepts, approaches and practice?</w:t>
      </w:r>
    </w:p>
    <w:p w:rsidR="00AA1BCF" w:rsidRDefault="00654D3F" w:rsidP="00325B13">
      <w:pPr>
        <w:numPr>
          <w:ilvl w:val="0"/>
          <w:numId w:val="1"/>
        </w:numPr>
        <w:spacing w:after="60"/>
        <w:contextualSpacing/>
      </w:pPr>
      <w:r w:rsidRPr="00385E12">
        <w:t>How do levels of qualification affect VET teachers’ engagement in prof</w:t>
      </w:r>
      <w:r w:rsidR="00F920BF">
        <w:t>essional development?</w:t>
      </w:r>
      <w:r>
        <w:t xml:space="preserve"> </w:t>
      </w:r>
    </w:p>
    <w:p w:rsidR="00654D3F" w:rsidRPr="00AA1BCF" w:rsidRDefault="00654D3F" w:rsidP="00AA1BCF">
      <w:pPr>
        <w:numPr>
          <w:ilvl w:val="0"/>
          <w:numId w:val="1"/>
        </w:numPr>
        <w:spacing w:after="120"/>
        <w:ind w:left="714" w:hanging="357"/>
      </w:pPr>
      <w:r w:rsidRPr="00AA1BCF">
        <w:t>In what ways do more highly-qualified VET teachers contribute to improved quality in VET</w:t>
      </w:r>
      <w:r w:rsidR="00AA1BCF">
        <w:rPr>
          <w:rStyle w:val="FootnoteReference"/>
        </w:rPr>
        <w:footnoteReference w:id="3"/>
      </w:r>
      <w:r w:rsidRPr="00AA1BCF">
        <w:t xml:space="preserve">?  </w:t>
      </w:r>
    </w:p>
    <w:p w:rsidR="00331C1D" w:rsidRPr="00A30961" w:rsidRDefault="00654D3F" w:rsidP="00331C1D">
      <w:pPr>
        <w:spacing w:before="80" w:after="120"/>
        <w:rPr>
          <w:sz w:val="20"/>
          <w:szCs w:val="20"/>
        </w:rPr>
      </w:pPr>
      <w:r>
        <w:t xml:space="preserve">The project involved </w:t>
      </w:r>
      <w:r w:rsidR="00331C1D">
        <w:t>RTOs and</w:t>
      </w:r>
      <w:r>
        <w:t xml:space="preserve"> VET teachers from every </w:t>
      </w:r>
      <w:r w:rsidR="00331C1D">
        <w:t xml:space="preserve">Australian </w:t>
      </w:r>
      <w:r>
        <w:t>S</w:t>
      </w:r>
      <w:r w:rsidR="00331C1D">
        <w:t>tate and Territory (Table 1). As higher-level qualifications in VET pedagogy are still available, and as there is a legacy population of previously</w:t>
      </w:r>
      <w:r w:rsidR="0008335D">
        <w:t xml:space="preserve"> </w:t>
      </w:r>
      <w:r w:rsidR="00331C1D">
        <w:t>well-qualified teachers/trainers, a comparison between teachers of different qualification levels was possible. Teachers/trainers of all levels of qualification participated in the research.</w:t>
      </w:r>
    </w:p>
    <w:p w:rsidR="00654D3F" w:rsidRPr="00347779" w:rsidRDefault="00654D3F" w:rsidP="00654D3F">
      <w:pPr>
        <w:rPr>
          <w:b/>
        </w:rPr>
      </w:pPr>
      <w:r w:rsidRPr="00347779">
        <w:rPr>
          <w:b/>
        </w:rPr>
        <w:t xml:space="preserve">Table </w:t>
      </w:r>
      <w:r>
        <w:rPr>
          <w:b/>
        </w:rPr>
        <w:t>1</w:t>
      </w:r>
      <w:r w:rsidRPr="00347779">
        <w:rPr>
          <w:b/>
        </w:rPr>
        <w:t xml:space="preserve">: Research method </w:t>
      </w:r>
      <w:r w:rsidR="00331C1D">
        <w:rPr>
          <w:b/>
        </w:rPr>
        <w:t>and participants,</w:t>
      </w:r>
      <w:r w:rsidRPr="00347779">
        <w:rPr>
          <w:b/>
        </w:rPr>
        <w:t xml:space="preserve"> 2015-17</w:t>
      </w:r>
    </w:p>
    <w:tbl>
      <w:tblPr>
        <w:tblStyle w:val="TableGrid"/>
        <w:tblW w:w="0" w:type="auto"/>
        <w:tblInd w:w="562" w:type="dxa"/>
        <w:tblLook w:val="04A0" w:firstRow="1" w:lastRow="0" w:firstColumn="1" w:lastColumn="0" w:noHBand="0" w:noVBand="1"/>
      </w:tblPr>
      <w:tblGrid>
        <w:gridCol w:w="851"/>
        <w:gridCol w:w="6095"/>
        <w:gridCol w:w="1508"/>
      </w:tblGrid>
      <w:tr w:rsidR="00654D3F" w:rsidRPr="0016771F" w:rsidTr="00F920BF">
        <w:tc>
          <w:tcPr>
            <w:tcW w:w="851" w:type="dxa"/>
            <w:shd w:val="clear" w:color="auto" w:fill="F2F2F2" w:themeFill="background1" w:themeFillShade="F2"/>
          </w:tcPr>
          <w:p w:rsidR="00654D3F" w:rsidRPr="00AA1BCF" w:rsidRDefault="00654D3F" w:rsidP="00F920BF">
            <w:pPr>
              <w:spacing w:line="259" w:lineRule="auto"/>
              <w:jc w:val="center"/>
              <w:rPr>
                <w:rFonts w:cstheme="minorHAnsi"/>
                <w:b/>
                <w:sz w:val="20"/>
                <w:szCs w:val="20"/>
              </w:rPr>
            </w:pPr>
            <w:r w:rsidRPr="00AA1BCF">
              <w:rPr>
                <w:rFonts w:cstheme="minorHAnsi"/>
                <w:b/>
                <w:sz w:val="20"/>
                <w:szCs w:val="20"/>
              </w:rPr>
              <w:t>Phase</w:t>
            </w:r>
          </w:p>
        </w:tc>
        <w:tc>
          <w:tcPr>
            <w:tcW w:w="6095" w:type="dxa"/>
            <w:shd w:val="clear" w:color="auto" w:fill="F2F2F2" w:themeFill="background1" w:themeFillShade="F2"/>
          </w:tcPr>
          <w:p w:rsidR="00654D3F" w:rsidRPr="00AA1BCF" w:rsidRDefault="00654D3F" w:rsidP="00F6560F">
            <w:pPr>
              <w:spacing w:line="259" w:lineRule="auto"/>
              <w:rPr>
                <w:rFonts w:cstheme="minorHAnsi"/>
                <w:b/>
                <w:sz w:val="20"/>
                <w:szCs w:val="20"/>
              </w:rPr>
            </w:pPr>
            <w:r w:rsidRPr="00AA1BCF">
              <w:rPr>
                <w:rFonts w:cstheme="minorHAnsi"/>
                <w:b/>
                <w:sz w:val="20"/>
                <w:szCs w:val="20"/>
              </w:rPr>
              <w:t>Activity</w:t>
            </w:r>
          </w:p>
        </w:tc>
        <w:tc>
          <w:tcPr>
            <w:tcW w:w="1508" w:type="dxa"/>
            <w:shd w:val="clear" w:color="auto" w:fill="F2F2F2" w:themeFill="background1" w:themeFillShade="F2"/>
          </w:tcPr>
          <w:p w:rsidR="00654D3F" w:rsidRPr="00AA1BCF" w:rsidRDefault="00654D3F" w:rsidP="006A2E2E">
            <w:pPr>
              <w:spacing w:line="259" w:lineRule="auto"/>
              <w:rPr>
                <w:rFonts w:cstheme="minorHAnsi"/>
                <w:b/>
                <w:sz w:val="20"/>
                <w:szCs w:val="20"/>
              </w:rPr>
            </w:pPr>
            <w:r w:rsidRPr="00AA1BCF">
              <w:rPr>
                <w:rFonts w:cstheme="minorHAnsi"/>
                <w:b/>
                <w:sz w:val="20"/>
                <w:szCs w:val="20"/>
              </w:rPr>
              <w:t>N</w:t>
            </w:r>
            <w:r w:rsidR="006A2E2E">
              <w:rPr>
                <w:rFonts w:cstheme="minorHAnsi"/>
                <w:b/>
                <w:sz w:val="20"/>
                <w:szCs w:val="20"/>
              </w:rPr>
              <w:t>o.</w:t>
            </w:r>
            <w:r w:rsidRPr="00AA1BCF">
              <w:rPr>
                <w:rFonts w:cstheme="minorHAnsi"/>
                <w:b/>
                <w:sz w:val="20"/>
                <w:szCs w:val="20"/>
              </w:rPr>
              <w:t xml:space="preserve"> of research participants</w:t>
            </w:r>
          </w:p>
        </w:tc>
      </w:tr>
      <w:tr w:rsidR="00654D3F" w:rsidRPr="0016771F" w:rsidTr="00F920BF">
        <w:tc>
          <w:tcPr>
            <w:tcW w:w="851" w:type="dxa"/>
          </w:tcPr>
          <w:p w:rsidR="00654D3F" w:rsidRPr="00AA1BCF" w:rsidRDefault="00654D3F" w:rsidP="00F6560F">
            <w:pPr>
              <w:pStyle w:val="ListParagraph"/>
              <w:numPr>
                <w:ilvl w:val="0"/>
                <w:numId w:val="2"/>
              </w:numPr>
              <w:spacing w:after="0" w:line="259" w:lineRule="auto"/>
              <w:rPr>
                <w:rFonts w:cstheme="minorHAnsi"/>
                <w:b/>
                <w:sz w:val="20"/>
                <w:szCs w:val="20"/>
              </w:rPr>
            </w:pPr>
          </w:p>
        </w:tc>
        <w:tc>
          <w:tcPr>
            <w:tcW w:w="6095" w:type="dxa"/>
          </w:tcPr>
          <w:p w:rsidR="00654D3F" w:rsidRPr="00AA1BCF" w:rsidRDefault="00654D3F" w:rsidP="00F6560F">
            <w:pPr>
              <w:spacing w:line="259" w:lineRule="auto"/>
              <w:rPr>
                <w:rFonts w:cstheme="minorHAnsi"/>
                <w:sz w:val="20"/>
                <w:szCs w:val="20"/>
              </w:rPr>
            </w:pPr>
            <w:r w:rsidRPr="00AA1BCF">
              <w:rPr>
                <w:rFonts w:cstheme="minorHAnsi"/>
                <w:sz w:val="20"/>
                <w:szCs w:val="20"/>
              </w:rPr>
              <w:t>Stakeholder interviews</w:t>
            </w:r>
            <w:r w:rsidR="0008335D">
              <w:rPr>
                <w:rFonts w:cstheme="minorHAnsi"/>
                <w:sz w:val="20"/>
                <w:szCs w:val="20"/>
              </w:rPr>
              <w:t>.</w:t>
            </w:r>
          </w:p>
        </w:tc>
        <w:tc>
          <w:tcPr>
            <w:tcW w:w="1508" w:type="dxa"/>
          </w:tcPr>
          <w:p w:rsidR="00654D3F" w:rsidRPr="00AA1BCF" w:rsidRDefault="00654D3F" w:rsidP="00F6560F">
            <w:pPr>
              <w:spacing w:line="259" w:lineRule="auto"/>
              <w:jc w:val="right"/>
              <w:rPr>
                <w:rFonts w:cstheme="minorHAnsi"/>
                <w:sz w:val="20"/>
                <w:szCs w:val="20"/>
              </w:rPr>
            </w:pPr>
            <w:r w:rsidRPr="00AA1BCF">
              <w:rPr>
                <w:rFonts w:cstheme="minorHAnsi"/>
                <w:sz w:val="20"/>
                <w:szCs w:val="20"/>
              </w:rPr>
              <w:t>11</w:t>
            </w:r>
          </w:p>
        </w:tc>
      </w:tr>
      <w:tr w:rsidR="00654D3F" w:rsidRPr="0016771F" w:rsidTr="00F920BF">
        <w:tc>
          <w:tcPr>
            <w:tcW w:w="851" w:type="dxa"/>
          </w:tcPr>
          <w:p w:rsidR="00654D3F" w:rsidRPr="00AA1BCF" w:rsidRDefault="00654D3F" w:rsidP="00F6560F">
            <w:pPr>
              <w:pStyle w:val="ListParagraph"/>
              <w:numPr>
                <w:ilvl w:val="0"/>
                <w:numId w:val="2"/>
              </w:numPr>
              <w:spacing w:after="0" w:line="259" w:lineRule="auto"/>
              <w:rPr>
                <w:rFonts w:cstheme="minorHAnsi"/>
                <w:b/>
                <w:sz w:val="20"/>
                <w:szCs w:val="20"/>
              </w:rPr>
            </w:pPr>
          </w:p>
        </w:tc>
        <w:tc>
          <w:tcPr>
            <w:tcW w:w="6095" w:type="dxa"/>
          </w:tcPr>
          <w:p w:rsidR="00654D3F" w:rsidRPr="00AA1BCF" w:rsidRDefault="00654D3F" w:rsidP="00F6560F">
            <w:pPr>
              <w:spacing w:line="259" w:lineRule="auto"/>
              <w:rPr>
                <w:rFonts w:cstheme="minorHAnsi"/>
                <w:sz w:val="20"/>
                <w:szCs w:val="20"/>
              </w:rPr>
            </w:pPr>
            <w:r w:rsidRPr="00AA1BCF">
              <w:rPr>
                <w:rFonts w:cstheme="minorHAnsi"/>
                <w:sz w:val="20"/>
                <w:szCs w:val="20"/>
              </w:rPr>
              <w:t xml:space="preserve">11 focus groups of teacher/trainers </w:t>
            </w:r>
            <w:r w:rsidR="00A30961">
              <w:rPr>
                <w:rFonts w:cstheme="minorHAnsi"/>
                <w:sz w:val="20"/>
                <w:szCs w:val="20"/>
              </w:rPr>
              <w:t>(29</w:t>
            </w:r>
            <w:r w:rsidR="0008335D">
              <w:rPr>
                <w:rFonts w:cstheme="minorHAnsi"/>
                <w:sz w:val="20"/>
                <w:szCs w:val="20"/>
              </w:rPr>
              <w:t xml:space="preserve"> people</w:t>
            </w:r>
            <w:r w:rsidR="00A30961">
              <w:rPr>
                <w:rFonts w:cstheme="minorHAnsi"/>
                <w:sz w:val="20"/>
                <w:szCs w:val="20"/>
              </w:rPr>
              <w:t xml:space="preserve">) </w:t>
            </w:r>
            <w:r w:rsidRPr="00AA1BCF">
              <w:rPr>
                <w:rFonts w:cstheme="minorHAnsi"/>
                <w:sz w:val="20"/>
                <w:szCs w:val="20"/>
              </w:rPr>
              <w:t>and students</w:t>
            </w:r>
            <w:r w:rsidR="00A30961">
              <w:rPr>
                <w:rFonts w:cstheme="minorHAnsi"/>
                <w:sz w:val="20"/>
                <w:szCs w:val="20"/>
              </w:rPr>
              <w:t xml:space="preserve"> (40)</w:t>
            </w:r>
            <w:r w:rsidR="0008335D">
              <w:rPr>
                <w:rFonts w:cstheme="minorHAnsi"/>
                <w:sz w:val="20"/>
                <w:szCs w:val="20"/>
              </w:rPr>
              <w:t>.</w:t>
            </w:r>
          </w:p>
        </w:tc>
        <w:tc>
          <w:tcPr>
            <w:tcW w:w="1508" w:type="dxa"/>
          </w:tcPr>
          <w:p w:rsidR="00654D3F" w:rsidRPr="00AA1BCF" w:rsidRDefault="00A30961" w:rsidP="00F6560F">
            <w:pPr>
              <w:spacing w:line="259" w:lineRule="auto"/>
              <w:jc w:val="right"/>
              <w:rPr>
                <w:rFonts w:cstheme="minorHAnsi"/>
                <w:sz w:val="20"/>
                <w:szCs w:val="20"/>
              </w:rPr>
            </w:pPr>
            <w:r>
              <w:rPr>
                <w:rFonts w:cstheme="minorHAnsi"/>
                <w:sz w:val="20"/>
                <w:szCs w:val="20"/>
              </w:rPr>
              <w:t>60</w:t>
            </w:r>
          </w:p>
        </w:tc>
      </w:tr>
      <w:tr w:rsidR="00DE067F" w:rsidRPr="0016771F" w:rsidTr="00F920BF">
        <w:tc>
          <w:tcPr>
            <w:tcW w:w="851" w:type="dxa"/>
          </w:tcPr>
          <w:p w:rsidR="00DE067F" w:rsidRPr="00F920BF" w:rsidRDefault="00DE067F" w:rsidP="00DE067F">
            <w:pPr>
              <w:pStyle w:val="ListParagraph"/>
              <w:numPr>
                <w:ilvl w:val="0"/>
                <w:numId w:val="2"/>
              </w:numPr>
              <w:spacing w:after="0" w:line="259" w:lineRule="auto"/>
              <w:rPr>
                <w:rFonts w:cstheme="minorHAnsi"/>
                <w:b/>
                <w:sz w:val="20"/>
                <w:szCs w:val="20"/>
              </w:rPr>
            </w:pPr>
          </w:p>
        </w:tc>
        <w:tc>
          <w:tcPr>
            <w:tcW w:w="6095" w:type="dxa"/>
          </w:tcPr>
          <w:p w:rsidR="00DE067F" w:rsidRPr="00F920BF" w:rsidRDefault="00DE067F" w:rsidP="00DE067F">
            <w:pPr>
              <w:spacing w:line="259" w:lineRule="auto"/>
              <w:rPr>
                <w:rFonts w:cstheme="minorHAnsi"/>
                <w:sz w:val="20"/>
                <w:szCs w:val="20"/>
              </w:rPr>
            </w:pPr>
            <w:r w:rsidRPr="00F920BF">
              <w:rPr>
                <w:rFonts w:cstheme="minorHAnsi"/>
                <w:sz w:val="20"/>
                <w:szCs w:val="20"/>
              </w:rPr>
              <w:t>Case studies about the effects of teacher qualifications on teaching quality, at four TAFE and four non-TAFE RTOs. Interviews with managers, teachers and students.</w:t>
            </w:r>
          </w:p>
        </w:tc>
        <w:tc>
          <w:tcPr>
            <w:tcW w:w="1508" w:type="dxa"/>
          </w:tcPr>
          <w:p w:rsidR="00DE067F" w:rsidRPr="00F920BF" w:rsidRDefault="00DE067F" w:rsidP="00DE067F">
            <w:pPr>
              <w:spacing w:line="259" w:lineRule="auto"/>
              <w:jc w:val="right"/>
              <w:rPr>
                <w:rFonts w:cstheme="minorHAnsi"/>
                <w:sz w:val="20"/>
                <w:szCs w:val="20"/>
              </w:rPr>
            </w:pPr>
            <w:r w:rsidRPr="00F920BF">
              <w:rPr>
                <w:rFonts w:cstheme="minorHAnsi"/>
                <w:sz w:val="20"/>
                <w:szCs w:val="20"/>
              </w:rPr>
              <w:t>128</w:t>
            </w:r>
          </w:p>
        </w:tc>
      </w:tr>
      <w:tr w:rsidR="00654D3F" w:rsidRPr="0016771F" w:rsidTr="00F920BF">
        <w:tc>
          <w:tcPr>
            <w:tcW w:w="851" w:type="dxa"/>
          </w:tcPr>
          <w:p w:rsidR="00654D3F" w:rsidRPr="00F920BF" w:rsidRDefault="00654D3F" w:rsidP="00F6560F">
            <w:pPr>
              <w:pStyle w:val="ListParagraph"/>
              <w:numPr>
                <w:ilvl w:val="0"/>
                <w:numId w:val="2"/>
              </w:numPr>
              <w:spacing w:after="0" w:line="259" w:lineRule="auto"/>
              <w:rPr>
                <w:rFonts w:cstheme="minorHAnsi"/>
                <w:b/>
                <w:sz w:val="20"/>
                <w:szCs w:val="20"/>
              </w:rPr>
            </w:pPr>
          </w:p>
        </w:tc>
        <w:tc>
          <w:tcPr>
            <w:tcW w:w="6095" w:type="dxa"/>
          </w:tcPr>
          <w:p w:rsidR="00654D3F" w:rsidRPr="00F920BF" w:rsidRDefault="00654D3F" w:rsidP="00F6560F">
            <w:pPr>
              <w:spacing w:line="259" w:lineRule="auto"/>
              <w:rPr>
                <w:rFonts w:cstheme="minorHAnsi"/>
                <w:sz w:val="20"/>
                <w:szCs w:val="20"/>
              </w:rPr>
            </w:pPr>
            <w:r w:rsidRPr="00F920BF">
              <w:rPr>
                <w:rFonts w:cstheme="minorHAnsi"/>
                <w:sz w:val="20"/>
                <w:szCs w:val="20"/>
              </w:rPr>
              <w:t>National Teacher/Trainer Survey administered through eight TAFE and 48 non-TAFE RTOs</w:t>
            </w:r>
            <w:r w:rsidR="0008335D" w:rsidRPr="00F920BF">
              <w:rPr>
                <w:rFonts w:cstheme="minorHAnsi"/>
                <w:sz w:val="20"/>
                <w:szCs w:val="20"/>
              </w:rPr>
              <w:t>.</w:t>
            </w:r>
          </w:p>
        </w:tc>
        <w:tc>
          <w:tcPr>
            <w:tcW w:w="1508" w:type="dxa"/>
          </w:tcPr>
          <w:p w:rsidR="00654D3F" w:rsidRPr="00F920BF" w:rsidRDefault="00654D3F" w:rsidP="00F6560F">
            <w:pPr>
              <w:spacing w:line="259" w:lineRule="auto"/>
              <w:jc w:val="right"/>
              <w:rPr>
                <w:rFonts w:cstheme="minorHAnsi"/>
                <w:sz w:val="20"/>
                <w:szCs w:val="20"/>
              </w:rPr>
            </w:pPr>
            <w:r w:rsidRPr="00F920BF">
              <w:rPr>
                <w:rFonts w:cstheme="minorHAnsi"/>
                <w:sz w:val="20"/>
                <w:szCs w:val="20"/>
              </w:rPr>
              <w:t>574</w:t>
            </w:r>
          </w:p>
          <w:p w:rsidR="00654D3F" w:rsidRPr="00F920BF" w:rsidRDefault="00654D3F" w:rsidP="00F6560F">
            <w:pPr>
              <w:spacing w:line="259" w:lineRule="auto"/>
              <w:jc w:val="right"/>
              <w:rPr>
                <w:rFonts w:cstheme="minorHAnsi"/>
                <w:sz w:val="20"/>
                <w:szCs w:val="20"/>
              </w:rPr>
            </w:pPr>
          </w:p>
        </w:tc>
      </w:tr>
      <w:tr w:rsidR="00654D3F" w:rsidRPr="0016771F" w:rsidTr="00F920BF">
        <w:tc>
          <w:tcPr>
            <w:tcW w:w="851" w:type="dxa"/>
          </w:tcPr>
          <w:p w:rsidR="00654D3F" w:rsidRPr="00AA1BCF" w:rsidRDefault="00654D3F" w:rsidP="00F6560F">
            <w:pPr>
              <w:pStyle w:val="ListParagraph"/>
              <w:numPr>
                <w:ilvl w:val="0"/>
                <w:numId w:val="2"/>
              </w:numPr>
              <w:spacing w:after="0" w:line="259" w:lineRule="auto"/>
              <w:rPr>
                <w:rFonts w:cstheme="minorHAnsi"/>
                <w:b/>
                <w:sz w:val="20"/>
                <w:szCs w:val="20"/>
              </w:rPr>
            </w:pPr>
          </w:p>
        </w:tc>
        <w:tc>
          <w:tcPr>
            <w:tcW w:w="6095" w:type="dxa"/>
          </w:tcPr>
          <w:p w:rsidR="00654D3F" w:rsidRPr="00AA1BCF" w:rsidRDefault="00654D3F" w:rsidP="00F6560F">
            <w:pPr>
              <w:spacing w:line="259" w:lineRule="auto"/>
              <w:rPr>
                <w:rFonts w:cstheme="minorHAnsi"/>
                <w:sz w:val="20"/>
                <w:szCs w:val="20"/>
              </w:rPr>
            </w:pPr>
            <w:r w:rsidRPr="00AA1BCF">
              <w:rPr>
                <w:rFonts w:cstheme="minorHAnsi"/>
                <w:sz w:val="20"/>
                <w:szCs w:val="20"/>
              </w:rPr>
              <w:t>Professional Development Survey of teachers</w:t>
            </w:r>
            <w:r w:rsidR="00A30961">
              <w:rPr>
                <w:rFonts w:cstheme="minorHAnsi"/>
                <w:sz w:val="20"/>
                <w:szCs w:val="20"/>
              </w:rPr>
              <w:t>,</w:t>
            </w:r>
            <w:r w:rsidRPr="00AA1BCF">
              <w:rPr>
                <w:rFonts w:cstheme="minorHAnsi"/>
                <w:sz w:val="20"/>
                <w:szCs w:val="20"/>
              </w:rPr>
              <w:t xml:space="preserve"> administered through three external professional development providers</w:t>
            </w:r>
            <w:r w:rsidR="0008335D">
              <w:rPr>
                <w:rFonts w:cstheme="minorHAnsi"/>
                <w:sz w:val="20"/>
                <w:szCs w:val="20"/>
              </w:rPr>
              <w:t>.</w:t>
            </w:r>
          </w:p>
        </w:tc>
        <w:tc>
          <w:tcPr>
            <w:tcW w:w="1508" w:type="dxa"/>
          </w:tcPr>
          <w:p w:rsidR="00654D3F" w:rsidRPr="00AA1BCF" w:rsidRDefault="00654D3F" w:rsidP="00F6560F">
            <w:pPr>
              <w:spacing w:line="259" w:lineRule="auto"/>
              <w:jc w:val="right"/>
              <w:rPr>
                <w:rFonts w:cstheme="minorHAnsi"/>
                <w:sz w:val="20"/>
                <w:szCs w:val="20"/>
              </w:rPr>
            </w:pPr>
            <w:r w:rsidRPr="00AA1BCF">
              <w:rPr>
                <w:rFonts w:cstheme="minorHAnsi"/>
                <w:sz w:val="20"/>
                <w:szCs w:val="20"/>
              </w:rPr>
              <w:t>368</w:t>
            </w:r>
          </w:p>
          <w:p w:rsidR="00654D3F" w:rsidRPr="00AA1BCF" w:rsidRDefault="00654D3F" w:rsidP="00F6560F">
            <w:pPr>
              <w:spacing w:line="259" w:lineRule="auto"/>
              <w:jc w:val="right"/>
              <w:rPr>
                <w:rFonts w:cstheme="minorHAnsi"/>
                <w:sz w:val="20"/>
                <w:szCs w:val="20"/>
              </w:rPr>
            </w:pPr>
          </w:p>
        </w:tc>
      </w:tr>
      <w:tr w:rsidR="00654D3F" w:rsidRPr="0016771F" w:rsidTr="00F920BF">
        <w:tc>
          <w:tcPr>
            <w:tcW w:w="851" w:type="dxa"/>
          </w:tcPr>
          <w:p w:rsidR="00654D3F" w:rsidRPr="00AA1BCF" w:rsidRDefault="00654D3F" w:rsidP="00F6560F">
            <w:pPr>
              <w:pStyle w:val="ListParagraph"/>
              <w:numPr>
                <w:ilvl w:val="0"/>
                <w:numId w:val="2"/>
              </w:numPr>
              <w:spacing w:after="0" w:line="259" w:lineRule="auto"/>
              <w:rPr>
                <w:rFonts w:cstheme="minorHAnsi"/>
                <w:b/>
                <w:sz w:val="20"/>
                <w:szCs w:val="20"/>
              </w:rPr>
            </w:pPr>
          </w:p>
        </w:tc>
        <w:tc>
          <w:tcPr>
            <w:tcW w:w="6095" w:type="dxa"/>
          </w:tcPr>
          <w:p w:rsidR="00654D3F" w:rsidRPr="00AA1BCF" w:rsidRDefault="00654D3F" w:rsidP="00F6560F">
            <w:pPr>
              <w:spacing w:line="259" w:lineRule="auto"/>
              <w:rPr>
                <w:rFonts w:cstheme="minorHAnsi"/>
                <w:sz w:val="20"/>
                <w:szCs w:val="20"/>
              </w:rPr>
            </w:pPr>
            <w:r w:rsidRPr="00AA1BCF">
              <w:rPr>
                <w:rFonts w:cstheme="minorHAnsi"/>
                <w:sz w:val="20"/>
                <w:szCs w:val="20"/>
              </w:rPr>
              <w:t>Professional development case studies at three TAFE and three non-TAFE RTOs. Interviews with managers and teachers.</w:t>
            </w:r>
          </w:p>
        </w:tc>
        <w:tc>
          <w:tcPr>
            <w:tcW w:w="1508" w:type="dxa"/>
          </w:tcPr>
          <w:p w:rsidR="00654D3F" w:rsidRPr="00AA1BCF" w:rsidRDefault="00654D3F" w:rsidP="00F6560F">
            <w:pPr>
              <w:spacing w:line="259" w:lineRule="auto"/>
              <w:jc w:val="right"/>
              <w:rPr>
                <w:rFonts w:cstheme="minorHAnsi"/>
                <w:sz w:val="20"/>
                <w:szCs w:val="20"/>
              </w:rPr>
            </w:pPr>
            <w:r w:rsidRPr="00AA1BCF">
              <w:rPr>
                <w:rFonts w:cstheme="minorHAnsi"/>
                <w:sz w:val="20"/>
                <w:szCs w:val="20"/>
              </w:rPr>
              <w:t>50</w:t>
            </w:r>
          </w:p>
        </w:tc>
      </w:tr>
      <w:tr w:rsidR="00654D3F" w:rsidRPr="003C6DE7" w:rsidTr="00F920BF">
        <w:tc>
          <w:tcPr>
            <w:tcW w:w="851" w:type="dxa"/>
          </w:tcPr>
          <w:p w:rsidR="00654D3F" w:rsidRPr="00AA1BCF" w:rsidRDefault="00654D3F" w:rsidP="00F920BF">
            <w:pPr>
              <w:pStyle w:val="ListParagraph"/>
              <w:numPr>
                <w:ilvl w:val="0"/>
                <w:numId w:val="2"/>
              </w:numPr>
              <w:spacing w:after="0" w:line="259" w:lineRule="auto"/>
              <w:rPr>
                <w:rFonts w:cstheme="minorHAnsi"/>
                <w:b/>
                <w:sz w:val="20"/>
                <w:szCs w:val="20"/>
              </w:rPr>
            </w:pPr>
          </w:p>
        </w:tc>
        <w:tc>
          <w:tcPr>
            <w:tcW w:w="6095" w:type="dxa"/>
          </w:tcPr>
          <w:p w:rsidR="00654D3F" w:rsidRPr="00AA1BCF" w:rsidRDefault="00E67523" w:rsidP="00F6560F">
            <w:pPr>
              <w:spacing w:line="259" w:lineRule="auto"/>
              <w:rPr>
                <w:rFonts w:cstheme="minorHAnsi"/>
                <w:sz w:val="20"/>
                <w:szCs w:val="20"/>
              </w:rPr>
            </w:pPr>
            <w:r>
              <w:rPr>
                <w:rFonts w:cstheme="minorHAnsi"/>
                <w:sz w:val="20"/>
                <w:szCs w:val="20"/>
              </w:rPr>
              <w:t>Expert validation</w:t>
            </w:r>
            <w:r w:rsidR="00654D3F" w:rsidRPr="00AA1BCF">
              <w:rPr>
                <w:rFonts w:cstheme="minorHAnsi"/>
                <w:sz w:val="20"/>
                <w:szCs w:val="20"/>
              </w:rPr>
              <w:t xml:space="preserve"> process – three stage on-line </w:t>
            </w:r>
            <w:r>
              <w:rPr>
                <w:rFonts w:cstheme="minorHAnsi"/>
                <w:sz w:val="20"/>
                <w:szCs w:val="20"/>
              </w:rPr>
              <w:t xml:space="preserve">‘Delphi’ </w:t>
            </w:r>
            <w:r w:rsidR="00654D3F" w:rsidRPr="00AA1BCF">
              <w:rPr>
                <w:rFonts w:cstheme="minorHAnsi"/>
                <w:sz w:val="20"/>
                <w:szCs w:val="20"/>
              </w:rPr>
              <w:t>survey</w:t>
            </w:r>
            <w:r w:rsidR="0008335D">
              <w:rPr>
                <w:rFonts w:cstheme="minorHAnsi"/>
                <w:sz w:val="20"/>
                <w:szCs w:val="20"/>
              </w:rPr>
              <w:t>.</w:t>
            </w:r>
          </w:p>
        </w:tc>
        <w:tc>
          <w:tcPr>
            <w:tcW w:w="1508" w:type="dxa"/>
          </w:tcPr>
          <w:p w:rsidR="00654D3F" w:rsidRPr="00AA1BCF" w:rsidRDefault="00654D3F" w:rsidP="00F6560F">
            <w:pPr>
              <w:spacing w:line="259" w:lineRule="auto"/>
              <w:jc w:val="right"/>
              <w:rPr>
                <w:rFonts w:cstheme="minorHAnsi"/>
                <w:sz w:val="20"/>
                <w:szCs w:val="20"/>
              </w:rPr>
            </w:pPr>
            <w:r w:rsidRPr="00AA1BCF">
              <w:rPr>
                <w:rFonts w:cstheme="minorHAnsi"/>
                <w:sz w:val="20"/>
                <w:szCs w:val="20"/>
              </w:rPr>
              <w:t>55</w:t>
            </w:r>
          </w:p>
        </w:tc>
      </w:tr>
      <w:tr w:rsidR="00654D3F" w:rsidRPr="0016771F" w:rsidTr="00F920BF">
        <w:tc>
          <w:tcPr>
            <w:tcW w:w="851" w:type="dxa"/>
            <w:shd w:val="clear" w:color="auto" w:fill="F2F2F2" w:themeFill="background1" w:themeFillShade="F2"/>
          </w:tcPr>
          <w:p w:rsidR="00654D3F" w:rsidRPr="00AA1BCF" w:rsidRDefault="00654D3F" w:rsidP="00F6560F">
            <w:pPr>
              <w:spacing w:line="259" w:lineRule="auto"/>
              <w:rPr>
                <w:rFonts w:cstheme="minorHAnsi"/>
                <w:b/>
                <w:sz w:val="20"/>
                <w:szCs w:val="20"/>
              </w:rPr>
            </w:pPr>
            <w:r w:rsidRPr="00AA1BCF">
              <w:rPr>
                <w:rFonts w:cstheme="minorHAnsi"/>
                <w:b/>
                <w:sz w:val="20"/>
                <w:szCs w:val="20"/>
              </w:rPr>
              <w:t>Total</w:t>
            </w:r>
          </w:p>
        </w:tc>
        <w:tc>
          <w:tcPr>
            <w:tcW w:w="6095" w:type="dxa"/>
            <w:shd w:val="clear" w:color="auto" w:fill="F2F2F2" w:themeFill="background1" w:themeFillShade="F2"/>
          </w:tcPr>
          <w:p w:rsidR="00654D3F" w:rsidRPr="00AA1BCF" w:rsidRDefault="00654D3F" w:rsidP="00F6560F">
            <w:pPr>
              <w:spacing w:line="259" w:lineRule="auto"/>
              <w:jc w:val="right"/>
              <w:rPr>
                <w:rFonts w:cstheme="minorHAnsi"/>
                <w:sz w:val="20"/>
                <w:szCs w:val="20"/>
              </w:rPr>
            </w:pPr>
          </w:p>
        </w:tc>
        <w:tc>
          <w:tcPr>
            <w:tcW w:w="1508" w:type="dxa"/>
            <w:shd w:val="clear" w:color="auto" w:fill="F2F2F2" w:themeFill="background1" w:themeFillShade="F2"/>
          </w:tcPr>
          <w:p w:rsidR="00654D3F" w:rsidRPr="00AA1BCF" w:rsidRDefault="00654D3F" w:rsidP="00F6560F">
            <w:pPr>
              <w:spacing w:line="259" w:lineRule="auto"/>
              <w:jc w:val="right"/>
              <w:rPr>
                <w:rFonts w:cstheme="minorHAnsi"/>
                <w:b/>
                <w:sz w:val="20"/>
                <w:szCs w:val="20"/>
              </w:rPr>
            </w:pPr>
            <w:r w:rsidRPr="00AA1BCF">
              <w:rPr>
                <w:rFonts w:cstheme="minorHAnsi"/>
                <w:b/>
                <w:sz w:val="20"/>
                <w:szCs w:val="20"/>
              </w:rPr>
              <w:t xml:space="preserve">1255 </w:t>
            </w:r>
          </w:p>
        </w:tc>
      </w:tr>
    </w:tbl>
    <w:p w:rsidR="00654D3F" w:rsidRPr="00654D3F" w:rsidRDefault="00654D3F" w:rsidP="00421D86">
      <w:pPr>
        <w:spacing w:after="120"/>
        <w:rPr>
          <w:u w:val="single"/>
        </w:rPr>
      </w:pPr>
      <w:r w:rsidRPr="00654D3F">
        <w:rPr>
          <w:u w:val="single"/>
        </w:rPr>
        <w:lastRenderedPageBreak/>
        <w:t>Summary of findings</w:t>
      </w:r>
    </w:p>
    <w:p w:rsidR="00654D3F" w:rsidRDefault="00654D3F" w:rsidP="00421D86">
      <w:pPr>
        <w:spacing w:after="40" w:line="254" w:lineRule="auto"/>
      </w:pPr>
      <w:r>
        <w:t>The key findings of the project</w:t>
      </w:r>
      <w:r w:rsidR="00331C1D">
        <w:t>,</w:t>
      </w:r>
      <w:r w:rsidR="00AA1BCF">
        <w:t xml:space="preserve"> from</w:t>
      </w:r>
      <w:r>
        <w:t xml:space="preserve"> the qualitative and quantitative data </w:t>
      </w:r>
      <w:r w:rsidR="00AA1BCF">
        <w:t xml:space="preserve">alike, </w:t>
      </w:r>
      <w:r>
        <w:t>were as follow</w:t>
      </w:r>
      <w:r w:rsidR="0008335D">
        <w:t>s:</w:t>
      </w:r>
      <w:r w:rsidR="00331C1D">
        <w:t xml:space="preserve"> </w:t>
      </w:r>
    </w:p>
    <w:p w:rsidR="00654D3F" w:rsidRPr="0009573A" w:rsidRDefault="00654D3F" w:rsidP="00B60C20">
      <w:pPr>
        <w:pStyle w:val="ListParagraph"/>
        <w:numPr>
          <w:ilvl w:val="0"/>
          <w:numId w:val="3"/>
        </w:numPr>
        <w:spacing w:line="254" w:lineRule="auto"/>
        <w:ind w:left="714" w:hanging="357"/>
      </w:pPr>
      <w:r w:rsidRPr="0009573A">
        <w:t>Higher level qualifications in VET pedagogy improve teaching approaches, confidence and ability to address diversity in contexts, learners and AQF level of teaching.</w:t>
      </w:r>
    </w:p>
    <w:p w:rsidR="00654D3F" w:rsidRPr="0009573A" w:rsidRDefault="00654D3F" w:rsidP="00B60C20">
      <w:pPr>
        <w:pStyle w:val="ListParagraph"/>
        <w:numPr>
          <w:ilvl w:val="0"/>
          <w:numId w:val="3"/>
        </w:numPr>
        <w:shd w:val="clear" w:color="auto" w:fill="FFFFFF" w:themeFill="background1"/>
        <w:spacing w:after="80" w:line="254" w:lineRule="auto"/>
        <w:ind w:left="714" w:hanging="357"/>
      </w:pPr>
      <w:r w:rsidRPr="0009573A">
        <w:t>VET teachers often have high level qualifications in their industry area or other disciplines</w:t>
      </w:r>
      <w:r w:rsidR="0008335D">
        <w:t>,</w:t>
      </w:r>
      <w:r w:rsidRPr="0009573A">
        <w:t xml:space="preserve"> and these too </w:t>
      </w:r>
      <w:r>
        <w:t>m</w:t>
      </w:r>
      <w:r w:rsidR="00AA1BCF">
        <w:t>ake a difference. However, h</w:t>
      </w:r>
      <w:r w:rsidRPr="0009573A">
        <w:t xml:space="preserve">igher level qualifications in VET pedagogy make a </w:t>
      </w:r>
      <w:r w:rsidRPr="00654D3F">
        <w:rPr>
          <w:u w:val="single"/>
        </w:rPr>
        <w:t>significant</w:t>
      </w:r>
      <w:r w:rsidRPr="00BB59DF">
        <w:t xml:space="preserve"> </w:t>
      </w:r>
      <w:r w:rsidRPr="0009573A">
        <w:t>difference to VET teachers’ confidence</w:t>
      </w:r>
      <w:r w:rsidR="0008335D">
        <w:t xml:space="preserve"> and ability</w:t>
      </w:r>
      <w:r w:rsidRPr="0009573A">
        <w:t xml:space="preserve"> in teaching a diversity of learners.</w:t>
      </w:r>
    </w:p>
    <w:p w:rsidR="00654D3F" w:rsidRPr="0009573A" w:rsidRDefault="00654D3F" w:rsidP="00B60C20">
      <w:pPr>
        <w:pStyle w:val="ListParagraph"/>
        <w:numPr>
          <w:ilvl w:val="0"/>
          <w:numId w:val="3"/>
        </w:numPr>
        <w:shd w:val="clear" w:color="auto" w:fill="FFFFFF" w:themeFill="background1"/>
        <w:spacing w:after="80" w:line="254" w:lineRule="auto"/>
        <w:ind w:left="714" w:hanging="357"/>
      </w:pPr>
      <w:r w:rsidRPr="0009573A">
        <w:t xml:space="preserve">The key qualification level that makes a difference is a degree. </w:t>
      </w:r>
    </w:p>
    <w:p w:rsidR="00654D3F" w:rsidRDefault="00654D3F" w:rsidP="00B60C20">
      <w:pPr>
        <w:pStyle w:val="ListParagraph"/>
        <w:numPr>
          <w:ilvl w:val="0"/>
          <w:numId w:val="3"/>
        </w:numPr>
        <w:shd w:val="clear" w:color="auto" w:fill="FFFFFF" w:themeFill="background1"/>
        <w:spacing w:after="80" w:line="254" w:lineRule="auto"/>
        <w:ind w:left="714" w:hanging="357"/>
      </w:pPr>
      <w:r w:rsidRPr="0009573A">
        <w:t xml:space="preserve">Participation in both formal and informal </w:t>
      </w:r>
      <w:r w:rsidR="00AA1BCF">
        <w:t>p</w:t>
      </w:r>
      <w:r w:rsidR="00BB59DF">
        <w:t>rofessional development</w:t>
      </w:r>
      <w:r w:rsidRPr="0009573A">
        <w:t>, in industry/discipline</w:t>
      </w:r>
      <w:r w:rsidR="00AA1BCF">
        <w:t xml:space="preserve"> area</w:t>
      </w:r>
      <w:r w:rsidR="00D76AD5">
        <w:t>s</w:t>
      </w:r>
      <w:r w:rsidRPr="0009573A">
        <w:t xml:space="preserve"> a</w:t>
      </w:r>
      <w:r w:rsidR="00AA1BCF">
        <w:t>n</w:t>
      </w:r>
      <w:r w:rsidRPr="0009573A">
        <w:t xml:space="preserve">d </w:t>
      </w:r>
      <w:r w:rsidR="00AA1BCF">
        <w:t xml:space="preserve">in </w:t>
      </w:r>
      <w:r w:rsidRPr="0009573A">
        <w:t>VET teaching</w:t>
      </w:r>
      <w:r w:rsidR="00D76AD5">
        <w:t>,</w:t>
      </w:r>
      <w:r w:rsidRPr="0009573A">
        <w:t xml:space="preserve"> increases with higher qualifications, irrespective of the type of qualification. </w:t>
      </w:r>
    </w:p>
    <w:p w:rsidR="00AA1BCF" w:rsidRDefault="00AA1BCF" w:rsidP="00B60C20">
      <w:pPr>
        <w:pStyle w:val="ListParagraph"/>
        <w:numPr>
          <w:ilvl w:val="0"/>
          <w:numId w:val="3"/>
        </w:numPr>
        <w:shd w:val="clear" w:color="auto" w:fill="FFFFFF" w:themeFill="background1"/>
        <w:spacing w:after="80" w:line="254" w:lineRule="auto"/>
        <w:ind w:left="714" w:hanging="357"/>
        <w:contextualSpacing w:val="0"/>
      </w:pPr>
      <w:r>
        <w:t>Teachers with higher level qualification</w:t>
      </w:r>
      <w:r w:rsidR="00BB59DF">
        <w:t>s</w:t>
      </w:r>
      <w:r>
        <w:t xml:space="preserve"> </w:t>
      </w:r>
      <w:r w:rsidR="00CE4031">
        <w:t>contribute</w:t>
      </w:r>
      <w:r>
        <w:t xml:space="preserve"> more to their employing organisations</w:t>
      </w:r>
      <w:r w:rsidR="00CE4031">
        <w:t xml:space="preserve"> in curriculum and assessment development, leadership and project work.</w:t>
      </w:r>
      <w:r>
        <w:t xml:space="preserve"> </w:t>
      </w:r>
    </w:p>
    <w:p w:rsidR="00654D3F" w:rsidRDefault="00654D3F" w:rsidP="00421D86">
      <w:pPr>
        <w:spacing w:after="80"/>
      </w:pPr>
      <w:r>
        <w:t>The findings about the effects of higher level qualifications on teaching approaches, addressing diversity</w:t>
      </w:r>
      <w:r w:rsidR="00AA1BCF">
        <w:t xml:space="preserve"> in contexts and learners</w:t>
      </w:r>
      <w:r>
        <w:t xml:space="preserve">, and contribution to the employing </w:t>
      </w:r>
      <w:r w:rsidR="00AA1BCF">
        <w:t>RTO</w:t>
      </w:r>
      <w:r>
        <w:t xml:space="preserve"> were very clear</w:t>
      </w:r>
      <w:r w:rsidR="00331C1D">
        <w:t xml:space="preserve">. </w:t>
      </w:r>
      <w:r>
        <w:t>While any type of higher level qualification was helpful, VET pedagogy qualifications had specific utility in</w:t>
      </w:r>
      <w:r w:rsidR="00AA1BCF">
        <w:t xml:space="preserve"> pedagogical and assessment</w:t>
      </w:r>
      <w:r>
        <w:t xml:space="preserve"> matters.  The </w:t>
      </w:r>
      <w:r w:rsidR="00D76AD5">
        <w:t>Diploma of VET</w:t>
      </w:r>
      <w:r>
        <w:t xml:space="preserve"> </w:t>
      </w:r>
      <w:r w:rsidR="00D76AD5">
        <w:t xml:space="preserve">qualification </w:t>
      </w:r>
      <w:r>
        <w:t>made a difference</w:t>
      </w:r>
      <w:r w:rsidR="00D76AD5">
        <w:t xml:space="preserve"> here</w:t>
      </w:r>
      <w:r>
        <w:t xml:space="preserve">; but the significant difference was at degree level. </w:t>
      </w:r>
    </w:p>
    <w:p w:rsidR="00654D3F" w:rsidRDefault="00654D3F" w:rsidP="00D76AD5">
      <w:pPr>
        <w:spacing w:after="120"/>
      </w:pPr>
      <w:r>
        <w:t xml:space="preserve">Engagement in professional development </w:t>
      </w:r>
      <w:r w:rsidR="00AA1BCF">
        <w:t xml:space="preserve">(PD) </w:t>
      </w:r>
      <w:r>
        <w:t xml:space="preserve">was more common among more highly-qualified teachers. This means that PD is unlikely to compensate for the low level of initial qualification. </w:t>
      </w:r>
      <w:r w:rsidR="0008335D">
        <w:t>R</w:t>
      </w:r>
      <w:r>
        <w:t>espondents report</w:t>
      </w:r>
      <w:r w:rsidR="00AA1BCF">
        <w:t>ed</w:t>
      </w:r>
      <w:r>
        <w:t xml:space="preserve"> that the PD </w:t>
      </w:r>
      <w:r w:rsidR="0008335D">
        <w:t xml:space="preserve">that was available, both </w:t>
      </w:r>
      <w:r>
        <w:t xml:space="preserve">at external providers </w:t>
      </w:r>
      <w:r w:rsidR="00A82F36">
        <w:t xml:space="preserve">and in-house, </w:t>
      </w:r>
      <w:bookmarkStart w:id="0" w:name="_GoBack"/>
      <w:bookmarkEnd w:id="0"/>
      <w:r>
        <w:t>was mo</w:t>
      </w:r>
      <w:r w:rsidR="004208B7">
        <w:t>re</w:t>
      </w:r>
      <w:r>
        <w:t xml:space="preserve"> likely to be </w:t>
      </w:r>
      <w:r w:rsidR="00DA4740">
        <w:t>about</w:t>
      </w:r>
      <w:r>
        <w:t xml:space="preserve"> compliance with the VET audit regime than </w:t>
      </w:r>
      <w:r w:rsidR="002F3C88">
        <w:t>about</w:t>
      </w:r>
      <w:r>
        <w:t xml:space="preserve"> pedagogical development. </w:t>
      </w:r>
    </w:p>
    <w:p w:rsidR="00654D3F" w:rsidRPr="00654D3F" w:rsidRDefault="00654D3F" w:rsidP="00DA0CC4">
      <w:pPr>
        <w:spacing w:after="80"/>
        <w:rPr>
          <w:u w:val="single"/>
        </w:rPr>
      </w:pPr>
      <w:r w:rsidRPr="00654D3F">
        <w:rPr>
          <w:u w:val="single"/>
        </w:rPr>
        <w:t>Validation and potential implementation</w:t>
      </w:r>
    </w:p>
    <w:p w:rsidR="00654D3F" w:rsidRDefault="00654D3F" w:rsidP="00CE4031">
      <w:pPr>
        <w:spacing w:after="80"/>
      </w:pPr>
      <w:r>
        <w:t xml:space="preserve">In the final three-stage </w:t>
      </w:r>
      <w:r w:rsidR="00E67523">
        <w:t>‘</w:t>
      </w:r>
      <w:r>
        <w:t>Delphi</w:t>
      </w:r>
      <w:r w:rsidR="00E67523">
        <w:t>’</w:t>
      </w:r>
      <w:r>
        <w:t xml:space="preserve"> process of the project (Phase 7), the findings were validated by the respondents who were</w:t>
      </w:r>
      <w:r w:rsidR="00AA1BCF">
        <w:t xml:space="preserve"> </w:t>
      </w:r>
      <w:r>
        <w:t>policy-makers or other influencers in the VET sector</w:t>
      </w:r>
      <w:r w:rsidR="00AA1BCF">
        <w:t xml:space="preserve"> (Stream 1) </w:t>
      </w:r>
      <w:r w:rsidR="00421D86">
        <w:t>; and</w:t>
      </w:r>
      <w:r>
        <w:t xml:space="preserve"> CEOs or senior managers of TAFE colleges or major non-TAFE providers </w:t>
      </w:r>
      <w:r w:rsidR="00AA1BCF">
        <w:t>from</w:t>
      </w:r>
      <w:r>
        <w:t xml:space="preserve"> all categories of </w:t>
      </w:r>
      <w:r w:rsidR="004208B7">
        <w:t>RTO</w:t>
      </w:r>
      <w:r w:rsidR="00AA1BCF">
        <w:t xml:space="preserve"> (Stream 2)</w:t>
      </w:r>
      <w:r>
        <w:t xml:space="preserve">.  </w:t>
      </w:r>
    </w:p>
    <w:p w:rsidR="004208B7" w:rsidRDefault="00654D3F" w:rsidP="00CE4031">
      <w:pPr>
        <w:spacing w:after="80"/>
      </w:pPr>
      <w:r>
        <w:t>The Delphi phase respondents reported, with a very few exceptions, that the fi</w:t>
      </w:r>
      <w:r w:rsidR="00421D86">
        <w:t>ndings of the project rang true</w:t>
      </w:r>
      <w:r w:rsidR="00406E30">
        <w:t>. Over</w:t>
      </w:r>
      <w:r w:rsidR="007863BF">
        <w:t xml:space="preserve"> three-quarters </w:t>
      </w:r>
      <w:r>
        <w:t xml:space="preserve">advocated the mandating of </w:t>
      </w:r>
      <w:r w:rsidR="007863BF">
        <w:t xml:space="preserve">at least </w:t>
      </w:r>
      <w:r>
        <w:t>the Diploma of VET as a minimum pedagogical qualification for all full-time VET teachers</w:t>
      </w:r>
      <w:r w:rsidR="00AA1BCF">
        <w:t xml:space="preserve"> in all types of RTO</w:t>
      </w:r>
      <w:r>
        <w:t xml:space="preserve">. </w:t>
      </w:r>
      <w:r w:rsidR="007863BF">
        <w:t>One-third advocated a degree.</w:t>
      </w:r>
    </w:p>
    <w:p w:rsidR="004208B7" w:rsidRDefault="00D76AD5" w:rsidP="00D76AD5">
      <w:pPr>
        <w:spacing w:after="120"/>
      </w:pPr>
      <w:r w:rsidRPr="00D76AD5">
        <w:rPr>
          <w:u w:val="single"/>
        </w:rPr>
        <w:t>Implications:</w:t>
      </w:r>
      <w:r>
        <w:t xml:space="preserve"> </w:t>
      </w:r>
      <w:r w:rsidR="00654D3F">
        <w:t>Although all major stakeholder groups were involved either in the conduct of this research project or on the project reference group, it remains to be seen whether there is the will to translate the findings into a new qualification regime</w:t>
      </w:r>
      <w:r w:rsidR="00421D86">
        <w:t xml:space="preserve"> for VET teachers.</w:t>
      </w:r>
      <w:r w:rsidR="00654D3F">
        <w:t xml:space="preserve"> </w:t>
      </w:r>
      <w:r w:rsidR="004208B7">
        <w:t xml:space="preserve"> </w:t>
      </w:r>
      <w:r>
        <w:t>Four</w:t>
      </w:r>
      <w:r w:rsidR="004208B7">
        <w:t xml:space="preserve"> specific arguments have been raised for doing nothing about VET teaching qualifications</w:t>
      </w:r>
      <w:r w:rsidR="00A30961">
        <w:t>. These are listed below, with counter-arguments</w:t>
      </w:r>
      <w:r w:rsidR="004208B7">
        <w:t>:</w:t>
      </w:r>
    </w:p>
    <w:tbl>
      <w:tblPr>
        <w:tblStyle w:val="TableGrid"/>
        <w:tblW w:w="0" w:type="auto"/>
        <w:tblLook w:val="04A0" w:firstRow="1" w:lastRow="0" w:firstColumn="1" w:lastColumn="0" w:noHBand="0" w:noVBand="1"/>
      </w:tblPr>
      <w:tblGrid>
        <w:gridCol w:w="2122"/>
        <w:gridCol w:w="7280"/>
      </w:tblGrid>
      <w:tr w:rsidR="00EC13AD" w:rsidTr="00EC13AD">
        <w:tc>
          <w:tcPr>
            <w:tcW w:w="2122" w:type="dxa"/>
          </w:tcPr>
          <w:p w:rsidR="00EC13AD" w:rsidRPr="00EC13AD" w:rsidRDefault="00EC13AD" w:rsidP="00D76AD5">
            <w:pPr>
              <w:spacing w:after="120"/>
              <w:rPr>
                <w:b/>
                <w:sz w:val="20"/>
                <w:szCs w:val="20"/>
              </w:rPr>
            </w:pPr>
            <w:r w:rsidRPr="00EC13AD">
              <w:rPr>
                <w:b/>
                <w:sz w:val="20"/>
                <w:szCs w:val="20"/>
              </w:rPr>
              <w:t>Reasons to do nothing</w:t>
            </w:r>
          </w:p>
        </w:tc>
        <w:tc>
          <w:tcPr>
            <w:tcW w:w="7280" w:type="dxa"/>
          </w:tcPr>
          <w:p w:rsidR="00EC13AD" w:rsidRPr="00EC13AD" w:rsidRDefault="00EC13AD" w:rsidP="00D76AD5">
            <w:pPr>
              <w:spacing w:after="120"/>
              <w:rPr>
                <w:b/>
                <w:sz w:val="20"/>
                <w:szCs w:val="20"/>
              </w:rPr>
            </w:pPr>
            <w:r w:rsidRPr="00EC13AD">
              <w:rPr>
                <w:b/>
                <w:sz w:val="20"/>
                <w:szCs w:val="20"/>
              </w:rPr>
              <w:t>Counter-arguments</w:t>
            </w:r>
          </w:p>
        </w:tc>
      </w:tr>
      <w:tr w:rsidR="00EC13AD" w:rsidTr="00EC13AD">
        <w:tc>
          <w:tcPr>
            <w:tcW w:w="2122" w:type="dxa"/>
          </w:tcPr>
          <w:p w:rsidR="00EC13AD" w:rsidRPr="00EC13AD" w:rsidRDefault="00EC13AD" w:rsidP="00D76AD5">
            <w:pPr>
              <w:spacing w:after="120"/>
              <w:rPr>
                <w:sz w:val="20"/>
                <w:szCs w:val="20"/>
              </w:rPr>
            </w:pPr>
            <w:r w:rsidRPr="00EC13AD">
              <w:rPr>
                <w:sz w:val="20"/>
                <w:szCs w:val="20"/>
              </w:rPr>
              <w:t>It would be expensive.</w:t>
            </w:r>
          </w:p>
        </w:tc>
        <w:tc>
          <w:tcPr>
            <w:tcW w:w="7280" w:type="dxa"/>
          </w:tcPr>
          <w:p w:rsidR="00EC13AD" w:rsidRPr="00EC13AD" w:rsidRDefault="00EC13AD" w:rsidP="00F85808">
            <w:pPr>
              <w:spacing w:after="120"/>
              <w:rPr>
                <w:sz w:val="20"/>
                <w:szCs w:val="20"/>
              </w:rPr>
            </w:pPr>
            <w:r w:rsidRPr="00EC13AD">
              <w:rPr>
                <w:sz w:val="20"/>
                <w:szCs w:val="20"/>
              </w:rPr>
              <w:t>V</w:t>
            </w:r>
            <w:r w:rsidRPr="00EC13AD">
              <w:rPr>
                <w:i/>
                <w:sz w:val="20"/>
                <w:szCs w:val="20"/>
              </w:rPr>
              <w:t>ET teachers could pay for their own qualifications, as do most workers in the economy, including school teachers</w:t>
            </w:r>
            <w:r w:rsidR="00195E03" w:rsidRPr="00421D86">
              <w:rPr>
                <w:i/>
                <w:sz w:val="20"/>
                <w:szCs w:val="20"/>
              </w:rPr>
              <w:t>.</w:t>
            </w:r>
            <w:r w:rsidR="00F85808" w:rsidRPr="00421D86">
              <w:rPr>
                <w:i/>
                <w:sz w:val="20"/>
                <w:szCs w:val="20"/>
              </w:rPr>
              <w:t xml:space="preserve"> Higher qual</w:t>
            </w:r>
            <w:r w:rsidR="00421D86">
              <w:rPr>
                <w:i/>
                <w:sz w:val="20"/>
                <w:szCs w:val="20"/>
              </w:rPr>
              <w:t>ification</w:t>
            </w:r>
            <w:r w:rsidR="00F85808" w:rsidRPr="00421D86">
              <w:rPr>
                <w:i/>
                <w:sz w:val="20"/>
                <w:szCs w:val="20"/>
              </w:rPr>
              <w:t>s could apply only for new full-time teachers</w:t>
            </w:r>
            <w:r w:rsidR="0008335D">
              <w:rPr>
                <w:i/>
                <w:sz w:val="20"/>
                <w:szCs w:val="20"/>
              </w:rPr>
              <w:t xml:space="preserve"> initially</w:t>
            </w:r>
            <w:r w:rsidR="00421D86">
              <w:rPr>
                <w:i/>
                <w:sz w:val="20"/>
                <w:szCs w:val="20"/>
              </w:rPr>
              <w:t>, to ease the transition</w:t>
            </w:r>
            <w:r w:rsidR="00F85808" w:rsidRPr="00421D86">
              <w:rPr>
                <w:i/>
                <w:sz w:val="20"/>
                <w:szCs w:val="20"/>
              </w:rPr>
              <w:t xml:space="preserve">. </w:t>
            </w:r>
          </w:p>
        </w:tc>
      </w:tr>
      <w:tr w:rsidR="00EC13AD" w:rsidTr="00EC13AD">
        <w:tc>
          <w:tcPr>
            <w:tcW w:w="2122" w:type="dxa"/>
          </w:tcPr>
          <w:p w:rsidR="00EC13AD" w:rsidRPr="00EC13AD" w:rsidRDefault="00EC13AD" w:rsidP="00D76AD5">
            <w:pPr>
              <w:spacing w:after="120"/>
              <w:rPr>
                <w:sz w:val="20"/>
                <w:szCs w:val="20"/>
              </w:rPr>
            </w:pPr>
            <w:r w:rsidRPr="00EC13AD">
              <w:rPr>
                <w:sz w:val="20"/>
                <w:szCs w:val="20"/>
              </w:rPr>
              <w:t>You need to prove that student outcomes are improved.</w:t>
            </w:r>
          </w:p>
        </w:tc>
        <w:tc>
          <w:tcPr>
            <w:tcW w:w="7280" w:type="dxa"/>
          </w:tcPr>
          <w:p w:rsidR="00EC13AD" w:rsidRPr="00EC13AD" w:rsidRDefault="00EC13AD" w:rsidP="00D76AD5">
            <w:pPr>
              <w:spacing w:after="120"/>
              <w:rPr>
                <w:sz w:val="20"/>
                <w:szCs w:val="20"/>
              </w:rPr>
            </w:pPr>
            <w:r w:rsidRPr="00EC13AD">
              <w:rPr>
                <w:i/>
                <w:sz w:val="20"/>
                <w:szCs w:val="20"/>
              </w:rPr>
              <w:t>This burden of proof is not placed on school teacher or Early Childhood teacher qualifications. Student outcomes are based on many variables; and in VET, there is rarely any grading to evaluate student outcomes</w:t>
            </w:r>
            <w:r w:rsidR="0008335D">
              <w:rPr>
                <w:i/>
                <w:sz w:val="20"/>
                <w:szCs w:val="20"/>
              </w:rPr>
              <w:t>,</w:t>
            </w:r>
            <w:r w:rsidR="00421D86">
              <w:rPr>
                <w:i/>
                <w:sz w:val="20"/>
                <w:szCs w:val="20"/>
              </w:rPr>
              <w:t xml:space="preserve"> in any case</w:t>
            </w:r>
            <w:r w:rsidR="00195E03">
              <w:rPr>
                <w:i/>
                <w:sz w:val="20"/>
                <w:szCs w:val="20"/>
              </w:rPr>
              <w:t>.</w:t>
            </w:r>
          </w:p>
        </w:tc>
      </w:tr>
      <w:tr w:rsidR="00EC13AD" w:rsidTr="00EC13AD">
        <w:tc>
          <w:tcPr>
            <w:tcW w:w="2122" w:type="dxa"/>
          </w:tcPr>
          <w:p w:rsidR="00EC13AD" w:rsidRPr="00EC13AD" w:rsidRDefault="00EC13AD" w:rsidP="00D76AD5">
            <w:pPr>
              <w:spacing w:after="120"/>
              <w:rPr>
                <w:sz w:val="20"/>
                <w:szCs w:val="20"/>
              </w:rPr>
            </w:pPr>
            <w:r>
              <w:rPr>
                <w:sz w:val="20"/>
                <w:szCs w:val="20"/>
              </w:rPr>
              <w:t>Industry wouldn’t like it</w:t>
            </w:r>
            <w:r w:rsidRPr="00EC13AD">
              <w:rPr>
                <w:sz w:val="20"/>
                <w:szCs w:val="20"/>
              </w:rPr>
              <w:t>.</w:t>
            </w:r>
          </w:p>
        </w:tc>
        <w:tc>
          <w:tcPr>
            <w:tcW w:w="7280" w:type="dxa"/>
          </w:tcPr>
          <w:p w:rsidR="00EC13AD" w:rsidRPr="00EC13AD" w:rsidRDefault="00EC13AD" w:rsidP="00421D86">
            <w:pPr>
              <w:spacing w:after="120"/>
              <w:rPr>
                <w:sz w:val="20"/>
                <w:szCs w:val="20"/>
              </w:rPr>
            </w:pPr>
            <w:r w:rsidRPr="00EC13AD">
              <w:rPr>
                <w:i/>
                <w:sz w:val="20"/>
                <w:szCs w:val="20"/>
              </w:rPr>
              <w:t xml:space="preserve">In other research studies, industry has shown its preference for highly qualified and competent VET teachers and trainers. </w:t>
            </w:r>
            <w:r w:rsidR="00421D86">
              <w:rPr>
                <w:i/>
                <w:sz w:val="20"/>
                <w:szCs w:val="20"/>
              </w:rPr>
              <w:t>Teaching/training</w:t>
            </w:r>
            <w:r w:rsidRPr="00EC13AD">
              <w:rPr>
                <w:i/>
                <w:sz w:val="20"/>
                <w:szCs w:val="20"/>
              </w:rPr>
              <w:t xml:space="preserve"> qualifications supplement, and do not replace, industry qualifications</w:t>
            </w:r>
            <w:r w:rsidR="00421D86">
              <w:rPr>
                <w:i/>
                <w:sz w:val="20"/>
                <w:szCs w:val="20"/>
              </w:rPr>
              <w:t xml:space="preserve"> </w:t>
            </w:r>
            <w:r w:rsidR="00406E30">
              <w:rPr>
                <w:i/>
                <w:sz w:val="20"/>
                <w:szCs w:val="20"/>
              </w:rPr>
              <w:t xml:space="preserve">and experience </w:t>
            </w:r>
            <w:r w:rsidR="00421D86">
              <w:rPr>
                <w:i/>
                <w:sz w:val="20"/>
                <w:szCs w:val="20"/>
              </w:rPr>
              <w:t>for VET teachers</w:t>
            </w:r>
            <w:r w:rsidR="00195E03">
              <w:rPr>
                <w:i/>
                <w:sz w:val="20"/>
                <w:szCs w:val="20"/>
              </w:rPr>
              <w:t>.</w:t>
            </w:r>
          </w:p>
        </w:tc>
      </w:tr>
      <w:tr w:rsidR="00EC13AD" w:rsidTr="00EC13AD">
        <w:tc>
          <w:tcPr>
            <w:tcW w:w="2122" w:type="dxa"/>
          </w:tcPr>
          <w:p w:rsidR="00EC13AD" w:rsidRPr="00EC13AD" w:rsidRDefault="00EC13AD" w:rsidP="00D76AD5">
            <w:pPr>
              <w:spacing w:after="120"/>
              <w:rPr>
                <w:sz w:val="20"/>
                <w:szCs w:val="20"/>
              </w:rPr>
            </w:pPr>
            <w:r w:rsidRPr="00EC13AD">
              <w:rPr>
                <w:sz w:val="20"/>
                <w:szCs w:val="20"/>
              </w:rPr>
              <w:t xml:space="preserve">People would </w:t>
            </w:r>
            <w:r>
              <w:rPr>
                <w:sz w:val="20"/>
                <w:szCs w:val="20"/>
              </w:rPr>
              <w:t>not want to become VET teachers.</w:t>
            </w:r>
          </w:p>
        </w:tc>
        <w:tc>
          <w:tcPr>
            <w:tcW w:w="7280" w:type="dxa"/>
          </w:tcPr>
          <w:p w:rsidR="00EC13AD" w:rsidRPr="00EC13AD" w:rsidRDefault="00EC13AD" w:rsidP="00406E30">
            <w:pPr>
              <w:spacing w:after="120"/>
              <w:rPr>
                <w:sz w:val="20"/>
                <w:szCs w:val="20"/>
              </w:rPr>
            </w:pPr>
            <w:r w:rsidRPr="00EC13AD">
              <w:rPr>
                <w:i/>
                <w:sz w:val="20"/>
                <w:szCs w:val="20"/>
              </w:rPr>
              <w:t xml:space="preserve">Higher level </w:t>
            </w:r>
            <w:r w:rsidR="00421D86">
              <w:rPr>
                <w:i/>
                <w:sz w:val="20"/>
                <w:szCs w:val="20"/>
              </w:rPr>
              <w:t xml:space="preserve">pedagogical </w:t>
            </w:r>
            <w:r w:rsidRPr="00EC13AD">
              <w:rPr>
                <w:i/>
                <w:sz w:val="20"/>
                <w:szCs w:val="20"/>
              </w:rPr>
              <w:t xml:space="preserve">qualifications are studied part-time after becoming a VET teacher. When they were required in the past, </w:t>
            </w:r>
            <w:r w:rsidR="00406E30">
              <w:rPr>
                <w:i/>
                <w:sz w:val="20"/>
                <w:szCs w:val="20"/>
              </w:rPr>
              <w:t>it</w:t>
            </w:r>
            <w:r w:rsidRPr="00EC13AD">
              <w:rPr>
                <w:i/>
                <w:sz w:val="20"/>
                <w:szCs w:val="20"/>
              </w:rPr>
              <w:t xml:space="preserve"> was not a barrier to entry. People </w:t>
            </w:r>
            <w:r w:rsidR="00406E30">
              <w:rPr>
                <w:i/>
                <w:sz w:val="20"/>
                <w:szCs w:val="20"/>
              </w:rPr>
              <w:t>usually</w:t>
            </w:r>
            <w:r w:rsidR="00421D86">
              <w:rPr>
                <w:i/>
                <w:sz w:val="20"/>
                <w:szCs w:val="20"/>
              </w:rPr>
              <w:t xml:space="preserve"> </w:t>
            </w:r>
            <w:r w:rsidRPr="00EC13AD">
              <w:rPr>
                <w:i/>
                <w:sz w:val="20"/>
                <w:szCs w:val="20"/>
              </w:rPr>
              <w:t>accept that a new occupation entails extra study, and sometimes a drop in pay</w:t>
            </w:r>
            <w:r w:rsidR="00406E30">
              <w:rPr>
                <w:i/>
                <w:sz w:val="20"/>
                <w:szCs w:val="20"/>
              </w:rPr>
              <w:t>.</w:t>
            </w:r>
          </w:p>
        </w:tc>
      </w:tr>
    </w:tbl>
    <w:p w:rsidR="00EC13AD" w:rsidRDefault="00EC13AD" w:rsidP="00D76AD5">
      <w:pPr>
        <w:spacing w:after="120"/>
      </w:pPr>
    </w:p>
    <w:sectPr w:rsidR="00EC13AD" w:rsidSect="00406E30">
      <w:footerReference w:type="default" r:id="rId11"/>
      <w:pgSz w:w="11906" w:h="16838"/>
      <w:pgMar w:top="1440" w:right="1247" w:bottom="1247"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3F" w:rsidRDefault="00654D3F" w:rsidP="00654D3F">
      <w:pPr>
        <w:spacing w:after="0" w:line="240" w:lineRule="auto"/>
      </w:pPr>
      <w:r>
        <w:separator/>
      </w:r>
    </w:p>
  </w:endnote>
  <w:endnote w:type="continuationSeparator" w:id="0">
    <w:p w:rsidR="00654D3F" w:rsidRDefault="00654D3F" w:rsidP="0065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1834708"/>
      <w:docPartObj>
        <w:docPartGallery w:val="Page Numbers (Bottom of Page)"/>
        <w:docPartUnique/>
      </w:docPartObj>
    </w:sdtPr>
    <w:sdtEndPr>
      <w:rPr>
        <w:noProof/>
      </w:rPr>
    </w:sdtEndPr>
    <w:sdtContent>
      <w:p w:rsidR="00654D3F" w:rsidRDefault="00654D3F">
        <w:pPr>
          <w:pStyle w:val="Footer"/>
          <w:jc w:val="right"/>
        </w:pPr>
        <w:r>
          <w:fldChar w:fldCharType="begin"/>
        </w:r>
        <w:r>
          <w:instrText xml:space="preserve"> PAGE   \* MERGEFORMAT </w:instrText>
        </w:r>
        <w:r>
          <w:fldChar w:fldCharType="separate"/>
        </w:r>
        <w:r w:rsidR="00A82F36">
          <w:rPr>
            <w:noProof/>
          </w:rPr>
          <w:t>2</w:t>
        </w:r>
        <w:r>
          <w:rPr>
            <w:noProof/>
          </w:rPr>
          <w:fldChar w:fldCharType="end"/>
        </w:r>
      </w:p>
    </w:sdtContent>
  </w:sdt>
  <w:p w:rsidR="00654D3F" w:rsidRDefault="00654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3F" w:rsidRDefault="00654D3F" w:rsidP="00654D3F">
      <w:pPr>
        <w:spacing w:after="0" w:line="240" w:lineRule="auto"/>
      </w:pPr>
      <w:r>
        <w:separator/>
      </w:r>
    </w:p>
  </w:footnote>
  <w:footnote w:type="continuationSeparator" w:id="0">
    <w:p w:rsidR="00654D3F" w:rsidRDefault="00654D3F" w:rsidP="00654D3F">
      <w:pPr>
        <w:spacing w:after="0" w:line="240" w:lineRule="auto"/>
      </w:pPr>
      <w:r>
        <w:continuationSeparator/>
      </w:r>
    </w:p>
  </w:footnote>
  <w:footnote w:id="1">
    <w:p w:rsidR="00331C1D" w:rsidRDefault="00331C1D">
      <w:pPr>
        <w:pStyle w:val="FootnoteText"/>
      </w:pPr>
      <w:r>
        <w:rPr>
          <w:rStyle w:val="FootnoteReference"/>
        </w:rPr>
        <w:footnoteRef/>
      </w:r>
      <w:r>
        <w:t xml:space="preserve">  Of course, many other factors </w:t>
      </w:r>
      <w:r w:rsidR="00DA4740">
        <w:t xml:space="preserve">also </w:t>
      </w:r>
      <w:r w:rsidR="002F3C88">
        <w:t>affect VET quality, and the research recorded many of these, but they were not specifically investigated.</w:t>
      </w:r>
    </w:p>
  </w:footnote>
  <w:footnote w:id="2">
    <w:p w:rsidR="00DE067F" w:rsidRDefault="00DE067F">
      <w:pPr>
        <w:pStyle w:val="FootnoteText"/>
      </w:pPr>
      <w:r>
        <w:rPr>
          <w:rStyle w:val="FootnoteReference"/>
        </w:rPr>
        <w:footnoteRef/>
      </w:r>
      <w:r>
        <w:t xml:space="preserve"> Keiko Yasukawa and Roger Harris</w:t>
      </w:r>
      <w:r w:rsidR="00F920BF">
        <w:t xml:space="preserve"> were</w:t>
      </w:r>
      <w:r>
        <w:t xml:space="preserve"> in</w:t>
      </w:r>
      <w:r w:rsidR="00F920BF">
        <w:t>v</w:t>
      </w:r>
      <w:r w:rsidR="00B569CA">
        <w:t>estigators</w:t>
      </w:r>
      <w:r w:rsidR="00F920BF">
        <w:t xml:space="preserve"> in</w:t>
      </w:r>
      <w:r>
        <w:t xml:space="preserve"> Phases 1-3</w:t>
      </w:r>
      <w:r w:rsidR="00F920BF">
        <w:t>; and Jackie Tuck in Phases 4 to 7.</w:t>
      </w:r>
    </w:p>
  </w:footnote>
  <w:footnote w:id="3">
    <w:p w:rsidR="00AA1BCF" w:rsidRDefault="00AA1BC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830D4"/>
    <w:multiLevelType w:val="hybridMultilevel"/>
    <w:tmpl w:val="E6668FCE"/>
    <w:lvl w:ilvl="0" w:tplc="63C28A98">
      <w:start w:val="1"/>
      <w:numFmt w:val="bullet"/>
      <w:lvlText w:val="•"/>
      <w:lvlJc w:val="left"/>
      <w:pPr>
        <w:tabs>
          <w:tab w:val="num" w:pos="720"/>
        </w:tabs>
        <w:ind w:left="720" w:hanging="360"/>
      </w:pPr>
      <w:rPr>
        <w:rFonts w:ascii="Arial" w:hAnsi="Arial" w:hint="default"/>
      </w:rPr>
    </w:lvl>
    <w:lvl w:ilvl="1" w:tplc="700C0BD2" w:tentative="1">
      <w:start w:val="1"/>
      <w:numFmt w:val="bullet"/>
      <w:lvlText w:val="•"/>
      <w:lvlJc w:val="left"/>
      <w:pPr>
        <w:tabs>
          <w:tab w:val="num" w:pos="1440"/>
        </w:tabs>
        <w:ind w:left="1440" w:hanging="360"/>
      </w:pPr>
      <w:rPr>
        <w:rFonts w:ascii="Arial" w:hAnsi="Arial" w:hint="default"/>
      </w:rPr>
    </w:lvl>
    <w:lvl w:ilvl="2" w:tplc="CB8AF98C" w:tentative="1">
      <w:start w:val="1"/>
      <w:numFmt w:val="bullet"/>
      <w:lvlText w:val="•"/>
      <w:lvlJc w:val="left"/>
      <w:pPr>
        <w:tabs>
          <w:tab w:val="num" w:pos="2160"/>
        </w:tabs>
        <w:ind w:left="2160" w:hanging="360"/>
      </w:pPr>
      <w:rPr>
        <w:rFonts w:ascii="Arial" w:hAnsi="Arial" w:hint="default"/>
      </w:rPr>
    </w:lvl>
    <w:lvl w:ilvl="3" w:tplc="0A189280" w:tentative="1">
      <w:start w:val="1"/>
      <w:numFmt w:val="bullet"/>
      <w:lvlText w:val="•"/>
      <w:lvlJc w:val="left"/>
      <w:pPr>
        <w:tabs>
          <w:tab w:val="num" w:pos="2880"/>
        </w:tabs>
        <w:ind w:left="2880" w:hanging="360"/>
      </w:pPr>
      <w:rPr>
        <w:rFonts w:ascii="Arial" w:hAnsi="Arial" w:hint="default"/>
      </w:rPr>
    </w:lvl>
    <w:lvl w:ilvl="4" w:tplc="A9F0DFF0" w:tentative="1">
      <w:start w:val="1"/>
      <w:numFmt w:val="bullet"/>
      <w:lvlText w:val="•"/>
      <w:lvlJc w:val="left"/>
      <w:pPr>
        <w:tabs>
          <w:tab w:val="num" w:pos="3600"/>
        </w:tabs>
        <w:ind w:left="3600" w:hanging="360"/>
      </w:pPr>
      <w:rPr>
        <w:rFonts w:ascii="Arial" w:hAnsi="Arial" w:hint="default"/>
      </w:rPr>
    </w:lvl>
    <w:lvl w:ilvl="5" w:tplc="8158AC52" w:tentative="1">
      <w:start w:val="1"/>
      <w:numFmt w:val="bullet"/>
      <w:lvlText w:val="•"/>
      <w:lvlJc w:val="left"/>
      <w:pPr>
        <w:tabs>
          <w:tab w:val="num" w:pos="4320"/>
        </w:tabs>
        <w:ind w:left="4320" w:hanging="360"/>
      </w:pPr>
      <w:rPr>
        <w:rFonts w:ascii="Arial" w:hAnsi="Arial" w:hint="default"/>
      </w:rPr>
    </w:lvl>
    <w:lvl w:ilvl="6" w:tplc="4260B310" w:tentative="1">
      <w:start w:val="1"/>
      <w:numFmt w:val="bullet"/>
      <w:lvlText w:val="•"/>
      <w:lvlJc w:val="left"/>
      <w:pPr>
        <w:tabs>
          <w:tab w:val="num" w:pos="5040"/>
        </w:tabs>
        <w:ind w:left="5040" w:hanging="360"/>
      </w:pPr>
      <w:rPr>
        <w:rFonts w:ascii="Arial" w:hAnsi="Arial" w:hint="default"/>
      </w:rPr>
    </w:lvl>
    <w:lvl w:ilvl="7" w:tplc="1C9ABFE4" w:tentative="1">
      <w:start w:val="1"/>
      <w:numFmt w:val="bullet"/>
      <w:lvlText w:val="•"/>
      <w:lvlJc w:val="left"/>
      <w:pPr>
        <w:tabs>
          <w:tab w:val="num" w:pos="5760"/>
        </w:tabs>
        <w:ind w:left="5760" w:hanging="360"/>
      </w:pPr>
      <w:rPr>
        <w:rFonts w:ascii="Arial" w:hAnsi="Arial" w:hint="default"/>
      </w:rPr>
    </w:lvl>
    <w:lvl w:ilvl="8" w:tplc="21CC09C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206C96"/>
    <w:multiLevelType w:val="hybridMultilevel"/>
    <w:tmpl w:val="881C3F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D850ADA"/>
    <w:multiLevelType w:val="hybridMultilevel"/>
    <w:tmpl w:val="1D6AED9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3697635"/>
    <w:multiLevelType w:val="hybridMultilevel"/>
    <w:tmpl w:val="652A7E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8E31A53"/>
    <w:multiLevelType w:val="hybridMultilevel"/>
    <w:tmpl w:val="136A4E9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B60937"/>
    <w:multiLevelType w:val="hybridMultilevel"/>
    <w:tmpl w:val="801AD4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3F"/>
    <w:rsid w:val="00080BF9"/>
    <w:rsid w:val="0008335D"/>
    <w:rsid w:val="00195E03"/>
    <w:rsid w:val="002F3C88"/>
    <w:rsid w:val="00331C1D"/>
    <w:rsid w:val="003D5C75"/>
    <w:rsid w:val="00406E30"/>
    <w:rsid w:val="004208B7"/>
    <w:rsid w:val="00421D86"/>
    <w:rsid w:val="00603D81"/>
    <w:rsid w:val="00610CDC"/>
    <w:rsid w:val="00622553"/>
    <w:rsid w:val="00654D3F"/>
    <w:rsid w:val="006A2E2E"/>
    <w:rsid w:val="007863BF"/>
    <w:rsid w:val="00A30961"/>
    <w:rsid w:val="00A82F36"/>
    <w:rsid w:val="00A97CE8"/>
    <w:rsid w:val="00AA1BCF"/>
    <w:rsid w:val="00B569CA"/>
    <w:rsid w:val="00B60C20"/>
    <w:rsid w:val="00BB59DF"/>
    <w:rsid w:val="00BF6865"/>
    <w:rsid w:val="00C512D1"/>
    <w:rsid w:val="00C8723F"/>
    <w:rsid w:val="00CE4031"/>
    <w:rsid w:val="00D71425"/>
    <w:rsid w:val="00D76AD5"/>
    <w:rsid w:val="00DA0CC4"/>
    <w:rsid w:val="00DA4740"/>
    <w:rsid w:val="00DE067F"/>
    <w:rsid w:val="00DE70D9"/>
    <w:rsid w:val="00E616E9"/>
    <w:rsid w:val="00E67523"/>
    <w:rsid w:val="00E85E37"/>
    <w:rsid w:val="00EC13AD"/>
    <w:rsid w:val="00F0470A"/>
    <w:rsid w:val="00F625F5"/>
    <w:rsid w:val="00F85808"/>
    <w:rsid w:val="00F920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15DB"/>
  <w15:chartTrackingRefBased/>
  <w15:docId w15:val="{CB499B83-F0B9-4F8F-9863-42D2CE0D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B Table Grid"/>
    <w:basedOn w:val="TableNormal"/>
    <w:uiPriority w:val="39"/>
    <w:rsid w:val="00654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D3F"/>
    <w:pPr>
      <w:spacing w:after="200" w:line="276" w:lineRule="auto"/>
      <w:ind w:left="720"/>
      <w:contextualSpacing/>
    </w:pPr>
    <w:rPr>
      <w:rFonts w:ascii="Calibri" w:eastAsia="SimSun" w:hAnsi="Calibri" w:cs="Times New Roman"/>
      <w:lang w:eastAsia="zh-CN"/>
    </w:rPr>
  </w:style>
  <w:style w:type="paragraph" w:styleId="Header">
    <w:name w:val="header"/>
    <w:basedOn w:val="Normal"/>
    <w:link w:val="HeaderChar"/>
    <w:uiPriority w:val="99"/>
    <w:unhideWhenUsed/>
    <w:rsid w:val="00654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D3F"/>
  </w:style>
  <w:style w:type="paragraph" w:styleId="Footer">
    <w:name w:val="footer"/>
    <w:basedOn w:val="Normal"/>
    <w:link w:val="FooterChar"/>
    <w:uiPriority w:val="99"/>
    <w:unhideWhenUsed/>
    <w:rsid w:val="00654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D3F"/>
  </w:style>
  <w:style w:type="character" w:styleId="Hyperlink">
    <w:name w:val="Hyperlink"/>
    <w:basedOn w:val="DefaultParagraphFont"/>
    <w:uiPriority w:val="99"/>
    <w:unhideWhenUsed/>
    <w:rsid w:val="00AA1BCF"/>
    <w:rPr>
      <w:color w:val="0000FF"/>
      <w:u w:val="single"/>
    </w:rPr>
  </w:style>
  <w:style w:type="paragraph" w:styleId="FootnoteText">
    <w:name w:val="footnote text"/>
    <w:basedOn w:val="Normal"/>
    <w:link w:val="FootnoteTextChar"/>
    <w:uiPriority w:val="99"/>
    <w:semiHidden/>
    <w:unhideWhenUsed/>
    <w:rsid w:val="00AA1B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1BCF"/>
    <w:rPr>
      <w:sz w:val="20"/>
      <w:szCs w:val="20"/>
    </w:rPr>
  </w:style>
  <w:style w:type="character" w:styleId="FootnoteReference">
    <w:name w:val="footnote reference"/>
    <w:basedOn w:val="DefaultParagraphFont"/>
    <w:uiPriority w:val="99"/>
    <w:semiHidden/>
    <w:unhideWhenUsed/>
    <w:rsid w:val="00AA1BCF"/>
    <w:rPr>
      <w:vertAlign w:val="superscript"/>
    </w:rPr>
  </w:style>
  <w:style w:type="paragraph" w:styleId="BalloonText">
    <w:name w:val="Balloon Text"/>
    <w:basedOn w:val="Normal"/>
    <w:link w:val="BalloonTextChar"/>
    <w:uiPriority w:val="99"/>
    <w:semiHidden/>
    <w:unhideWhenUsed/>
    <w:rsid w:val="00E616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6E9"/>
    <w:rPr>
      <w:rFonts w:ascii="Segoe UI" w:hAnsi="Segoe UI" w:cs="Segoe UI"/>
      <w:sz w:val="18"/>
      <w:szCs w:val="18"/>
    </w:rPr>
  </w:style>
  <w:style w:type="character" w:styleId="FollowedHyperlink">
    <w:name w:val="FollowedHyperlink"/>
    <w:basedOn w:val="DefaultParagraphFont"/>
    <w:uiPriority w:val="99"/>
    <w:semiHidden/>
    <w:unhideWhenUsed/>
    <w:rsid w:val="00421D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24867">
      <w:bodyDiv w:val="1"/>
      <w:marLeft w:val="0"/>
      <w:marRight w:val="0"/>
      <w:marTop w:val="0"/>
      <w:marBottom w:val="0"/>
      <w:divBdr>
        <w:top w:val="none" w:sz="0" w:space="0" w:color="auto"/>
        <w:left w:val="none" w:sz="0" w:space="0" w:color="auto"/>
        <w:bottom w:val="none" w:sz="0" w:space="0" w:color="auto"/>
        <w:right w:val="none" w:sz="0" w:space="0" w:color="auto"/>
      </w:divBdr>
      <w:divsChild>
        <w:div w:id="1100642493">
          <w:marLeft w:val="360"/>
          <w:marRight w:val="0"/>
          <w:marTop w:val="200"/>
          <w:marBottom w:val="0"/>
          <w:divBdr>
            <w:top w:val="none" w:sz="0" w:space="0" w:color="auto"/>
            <w:left w:val="none" w:sz="0" w:space="0" w:color="auto"/>
            <w:bottom w:val="none" w:sz="0" w:space="0" w:color="auto"/>
            <w:right w:val="none" w:sz="0" w:space="0" w:color="auto"/>
          </w:divBdr>
        </w:div>
        <w:div w:id="1638561445">
          <w:marLeft w:val="360"/>
          <w:marRight w:val="0"/>
          <w:marTop w:val="200"/>
          <w:marBottom w:val="0"/>
          <w:divBdr>
            <w:top w:val="none" w:sz="0" w:space="0" w:color="auto"/>
            <w:left w:val="none" w:sz="0" w:space="0" w:color="auto"/>
            <w:bottom w:val="none" w:sz="0" w:space="0" w:color="auto"/>
            <w:right w:val="none" w:sz="0" w:space="0" w:color="auto"/>
          </w:divBdr>
        </w:div>
        <w:div w:id="776564600">
          <w:marLeft w:val="360"/>
          <w:marRight w:val="0"/>
          <w:marTop w:val="200"/>
          <w:marBottom w:val="0"/>
          <w:divBdr>
            <w:top w:val="none" w:sz="0" w:space="0" w:color="auto"/>
            <w:left w:val="none" w:sz="0" w:space="0" w:color="auto"/>
            <w:bottom w:val="none" w:sz="0" w:space="0" w:color="auto"/>
            <w:right w:val="none" w:sz="0" w:space="0" w:color="auto"/>
          </w:divBdr>
        </w:div>
        <w:div w:id="1155150720">
          <w:marLeft w:val="360"/>
          <w:marRight w:val="0"/>
          <w:marTop w:val="200"/>
          <w:marBottom w:val="0"/>
          <w:divBdr>
            <w:top w:val="none" w:sz="0" w:space="0" w:color="auto"/>
            <w:left w:val="none" w:sz="0" w:space="0" w:color="auto"/>
            <w:bottom w:val="none" w:sz="0" w:space="0" w:color="auto"/>
            <w:right w:val="none" w:sz="0" w:space="0" w:color="auto"/>
          </w:divBdr>
        </w:div>
        <w:div w:id="1716470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ederation.edu.au/research-vet-quality" TargetMode="External"/><Relationship Id="rId4" Type="http://schemas.openxmlformats.org/officeDocument/2006/relationships/settings" Target="settings.xml"/><Relationship Id="rId9" Type="http://schemas.openxmlformats.org/officeDocument/2006/relationships/hyperlink" Target="mailto:e.smith@federatio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33B33-BBA1-4C2A-84CB-A1F59AB22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Smith</dc:creator>
  <cp:keywords/>
  <dc:description/>
  <cp:lastModifiedBy>Erica Smith</cp:lastModifiedBy>
  <cp:revision>2</cp:revision>
  <cp:lastPrinted>2018-05-24T00:46:00Z</cp:lastPrinted>
  <dcterms:created xsi:type="dcterms:W3CDTF">2018-06-02T00:35:00Z</dcterms:created>
  <dcterms:modified xsi:type="dcterms:W3CDTF">2018-06-02T00:35:00Z</dcterms:modified>
</cp:coreProperties>
</file>