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47261882"/>
        <w:docPartObj>
          <w:docPartGallery w:val="Cover Pages"/>
          <w:docPartUnique/>
        </w:docPartObj>
      </w:sdtPr>
      <w:sdtEndPr>
        <w:rPr>
          <w:b/>
        </w:rPr>
      </w:sdtEndPr>
      <w:sdtContent>
        <w:p w14:paraId="798D271F" w14:textId="4440FE8D" w:rsidR="007B6540" w:rsidRDefault="001B297B">
          <w:r>
            <w:rPr>
              <w:noProof/>
              <w:lang w:eastAsia="en-AU"/>
            </w:rPr>
            <w:drawing>
              <wp:anchor distT="0" distB="0" distL="114300" distR="114300" simplePos="0" relativeHeight="251659264" behindDoc="0" locked="0" layoutInCell="1" allowOverlap="1" wp14:anchorId="0B2F6A1D" wp14:editId="6841BE51">
                <wp:simplePos x="0" y="0"/>
                <wp:positionH relativeFrom="margin">
                  <wp:posOffset>3324225</wp:posOffset>
                </wp:positionH>
                <wp:positionV relativeFrom="paragraph">
                  <wp:posOffset>0</wp:posOffset>
                </wp:positionV>
                <wp:extent cx="2314575" cy="621030"/>
                <wp:effectExtent l="0" t="0" r="952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5814D8.tmp"/>
                        <pic:cNvPicPr/>
                      </pic:nvPicPr>
                      <pic:blipFill>
                        <a:blip r:embed="rId11">
                          <a:extLst>
                            <a:ext uri="{28A0092B-C50C-407E-A947-70E740481C1C}">
                              <a14:useLocalDpi xmlns:a14="http://schemas.microsoft.com/office/drawing/2010/main" val="0"/>
                            </a:ext>
                          </a:extLst>
                        </a:blip>
                        <a:stretch>
                          <a:fillRect/>
                        </a:stretch>
                      </pic:blipFill>
                      <pic:spPr>
                        <a:xfrm>
                          <a:off x="0" y="0"/>
                          <a:ext cx="2314575" cy="62103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4EDD88CE" w14:textId="6D25B69D" w:rsidR="007B6540" w:rsidRDefault="007B6540"/>
        <w:p w14:paraId="6A4B6C06" w14:textId="73F3DDBE" w:rsidR="007B6540" w:rsidRDefault="007B6540"/>
        <w:p w14:paraId="351AD3FA" w14:textId="1C9DE154" w:rsidR="007B6540" w:rsidRDefault="007B6540"/>
        <w:p w14:paraId="5E4CA0C9" w14:textId="77777777" w:rsidR="007B6540" w:rsidRDefault="007B6540"/>
        <w:p w14:paraId="7F116FE6" w14:textId="2ACCC753" w:rsidR="00682983" w:rsidRPr="00682983" w:rsidRDefault="00682983">
          <w:pPr>
            <w:rPr>
              <w:rFonts w:cstheme="minorHAnsi"/>
              <w:b/>
              <w:color w:val="1F4E79" w:themeColor="accent1" w:themeShade="80"/>
              <w:sz w:val="56"/>
              <w:szCs w:val="56"/>
              <w:lang w:val="en"/>
            </w:rPr>
          </w:pPr>
          <w:r w:rsidRPr="00682983">
            <w:rPr>
              <w:rFonts w:cstheme="minorHAnsi"/>
              <w:b/>
              <w:color w:val="1F4E79" w:themeColor="accent1" w:themeShade="80"/>
              <w:sz w:val="56"/>
              <w:szCs w:val="56"/>
              <w:lang w:val="en"/>
            </w:rPr>
            <w:t>Executive Summary</w:t>
          </w:r>
        </w:p>
        <w:p w14:paraId="7EAC7E9F" w14:textId="1684C8A0" w:rsidR="007B6540" w:rsidRPr="007C4AD1" w:rsidRDefault="007B6540" w:rsidP="007C4AD1">
          <w:pPr>
            <w:spacing w:after="240" w:line="240" w:lineRule="auto"/>
            <w:rPr>
              <w:rFonts w:cstheme="minorHAnsi"/>
              <w:color w:val="1F4E79" w:themeColor="accent1" w:themeShade="80"/>
              <w:sz w:val="52"/>
              <w:szCs w:val="52"/>
              <w:lang w:val="en"/>
            </w:rPr>
          </w:pPr>
          <w:r w:rsidRPr="007C4AD1">
            <w:rPr>
              <w:rFonts w:cstheme="minorHAnsi"/>
              <w:color w:val="1F4E79" w:themeColor="accent1" w:themeShade="80"/>
              <w:sz w:val="52"/>
              <w:szCs w:val="52"/>
              <w:lang w:val="en"/>
            </w:rPr>
            <w:t>Young futures: Education, t</w:t>
          </w:r>
          <w:r w:rsidR="00F97548" w:rsidRPr="007C4AD1">
            <w:rPr>
              <w:rFonts w:cstheme="minorHAnsi"/>
              <w:color w:val="1F4E79" w:themeColor="accent1" w:themeShade="80"/>
              <w:sz w:val="52"/>
              <w:szCs w:val="52"/>
              <w:lang w:val="en"/>
            </w:rPr>
            <w:t>raining and employment decision-</w:t>
          </w:r>
          <w:r w:rsidRPr="007C4AD1">
            <w:rPr>
              <w:rFonts w:cstheme="minorHAnsi"/>
              <w:color w:val="1F4E79" w:themeColor="accent1" w:themeShade="80"/>
              <w:sz w:val="52"/>
              <w:szCs w:val="52"/>
              <w:lang w:val="en"/>
            </w:rPr>
            <w:t>making in non-metropolitan areas</w:t>
          </w:r>
        </w:p>
        <w:p w14:paraId="6DBE1C29" w14:textId="314B312E" w:rsidR="007B6540" w:rsidRDefault="007B6540" w:rsidP="007B6540">
          <w:pPr>
            <w:jc w:val="center"/>
            <w:rPr>
              <w:rFonts w:cstheme="minorHAnsi"/>
              <w:color w:val="1F4E79" w:themeColor="accent1" w:themeShade="80"/>
              <w:sz w:val="56"/>
              <w:szCs w:val="56"/>
              <w:lang w:val="en"/>
            </w:rPr>
          </w:pPr>
          <w:r w:rsidRPr="00232B4D">
            <w:rPr>
              <w:noProof/>
              <w:lang w:eastAsia="en-AU"/>
            </w:rPr>
            <w:drawing>
              <wp:inline distT="0" distB="0" distL="0" distR="0" wp14:anchorId="2CAA74EC" wp14:editId="225458F4">
                <wp:extent cx="2238375" cy="1722025"/>
                <wp:effectExtent l="0" t="0" r="0" b="0"/>
                <wp:docPr id="1" name="Picture 1" descr="C:\Users\esmith\AppData\Local\Microsoft\Windows\INetCache\Content.Outlook\MO2PN1SZ\career-p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mith\AppData\Local\Microsoft\Windows\INetCache\Content.Outlook\MO2PN1SZ\career-path.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9520" cy="1738292"/>
                        </a:xfrm>
                        <a:prstGeom prst="rect">
                          <a:avLst/>
                        </a:prstGeom>
                        <a:noFill/>
                        <a:ln>
                          <a:noFill/>
                        </a:ln>
                      </pic:spPr>
                    </pic:pic>
                  </a:graphicData>
                </a:graphic>
              </wp:inline>
            </w:drawing>
          </w:r>
        </w:p>
        <w:p w14:paraId="07AAA8B1" w14:textId="3FA19820" w:rsidR="007B6540" w:rsidRPr="007B6540" w:rsidRDefault="007B6540" w:rsidP="00B25E93">
          <w:pPr>
            <w:spacing w:before="80"/>
            <w:jc w:val="center"/>
            <w:rPr>
              <w:rFonts w:cstheme="minorHAnsi"/>
              <w:color w:val="1F4E79" w:themeColor="accent1" w:themeShade="80"/>
              <w:sz w:val="48"/>
              <w:szCs w:val="48"/>
              <w:lang w:val="en"/>
            </w:rPr>
          </w:pPr>
          <w:r w:rsidRPr="007B6540">
            <w:rPr>
              <w:rFonts w:cstheme="minorHAnsi"/>
              <w:color w:val="1F4E79" w:themeColor="accent1" w:themeShade="80"/>
              <w:sz w:val="48"/>
              <w:szCs w:val="48"/>
              <w:lang w:val="en"/>
            </w:rPr>
            <w:t>Erica Smith &amp; Annette Foley</w:t>
          </w:r>
        </w:p>
        <w:p w14:paraId="3555E8C7" w14:textId="58F51790" w:rsidR="007B6540" w:rsidRPr="007C4AD1" w:rsidRDefault="007B6540" w:rsidP="007B6540">
          <w:pPr>
            <w:jc w:val="right"/>
            <w:rPr>
              <w:rFonts w:cstheme="minorHAnsi"/>
              <w:color w:val="1F4E79" w:themeColor="accent1" w:themeShade="80"/>
              <w:sz w:val="24"/>
              <w:szCs w:val="24"/>
              <w:lang w:val="en"/>
            </w:rPr>
          </w:pPr>
          <w:r w:rsidRPr="007C4AD1">
            <w:rPr>
              <w:rFonts w:cstheme="minorHAnsi"/>
              <w:color w:val="1F4E79" w:themeColor="accent1" w:themeShade="80"/>
              <w:sz w:val="24"/>
              <w:szCs w:val="24"/>
              <w:lang w:val="en"/>
            </w:rPr>
            <w:t>With acknowledgements to Tim Harrison and Helen Weadon for work undertaken early in the project</w:t>
          </w:r>
        </w:p>
        <w:p w14:paraId="4D95DA03" w14:textId="024F49FD" w:rsidR="0031725A" w:rsidRPr="0031725A" w:rsidRDefault="0031725A" w:rsidP="007B6540">
          <w:pPr>
            <w:jc w:val="right"/>
            <w:rPr>
              <w:rFonts w:cstheme="minorHAnsi"/>
              <w:i/>
              <w:color w:val="1F4E79" w:themeColor="accent1" w:themeShade="80"/>
              <w:sz w:val="24"/>
              <w:szCs w:val="24"/>
              <w:lang w:val="en"/>
            </w:rPr>
          </w:pPr>
          <w:r w:rsidRPr="0031725A">
            <w:rPr>
              <w:rFonts w:cstheme="minorHAnsi"/>
              <w:i/>
              <w:color w:val="1F4E79" w:themeColor="accent1" w:themeShade="80"/>
              <w:sz w:val="24"/>
              <w:szCs w:val="24"/>
              <w:lang w:val="en"/>
            </w:rPr>
            <w:t>Research assistant: Marlon Gonsalves</w:t>
          </w:r>
        </w:p>
        <w:p w14:paraId="7148272A" w14:textId="59EEAEB6" w:rsidR="003F120E" w:rsidRDefault="007B6540">
          <w:pPr>
            <w:rPr>
              <w:rFonts w:cstheme="minorHAnsi"/>
              <w:color w:val="1F4E79" w:themeColor="accent1" w:themeShade="80"/>
              <w:sz w:val="30"/>
              <w:szCs w:val="30"/>
              <w:lang w:val="en"/>
            </w:rPr>
          </w:pPr>
          <w:r w:rsidRPr="007B6540">
            <w:rPr>
              <w:rFonts w:cstheme="minorHAnsi"/>
              <w:color w:val="1F4E79" w:themeColor="accent1" w:themeShade="80"/>
              <w:sz w:val="30"/>
              <w:szCs w:val="30"/>
              <w:lang w:val="en"/>
            </w:rPr>
            <w:t xml:space="preserve">Research project funded by the Department of Education </w:t>
          </w:r>
          <w:r w:rsidR="007C4AD1">
            <w:rPr>
              <w:rFonts w:cstheme="minorHAnsi"/>
              <w:color w:val="1F4E79" w:themeColor="accent1" w:themeShade="80"/>
              <w:sz w:val="30"/>
              <w:szCs w:val="30"/>
              <w:lang w:val="en"/>
            </w:rPr>
            <w:t xml:space="preserve">and Training (DET) Victoria, </w:t>
          </w:r>
          <w:r w:rsidRPr="007B6540">
            <w:rPr>
              <w:rFonts w:cstheme="minorHAnsi"/>
              <w:color w:val="1F4E79" w:themeColor="accent1" w:themeShade="80"/>
              <w:sz w:val="30"/>
              <w:szCs w:val="30"/>
              <w:lang w:val="en"/>
            </w:rPr>
            <w:t xml:space="preserve">Strategic Research Seed Funding Pilot </w:t>
          </w:r>
          <w:r w:rsidR="00F97548">
            <w:rPr>
              <w:rFonts w:cstheme="minorHAnsi"/>
              <w:color w:val="1F4E79" w:themeColor="accent1" w:themeShade="80"/>
              <w:sz w:val="30"/>
              <w:szCs w:val="30"/>
              <w:lang w:val="en"/>
            </w:rPr>
            <w:t xml:space="preserve">program </w:t>
          </w:r>
          <w:r w:rsidRPr="007B6540">
            <w:rPr>
              <w:rFonts w:cstheme="minorHAnsi"/>
              <w:color w:val="1F4E79" w:themeColor="accent1" w:themeShade="80"/>
              <w:sz w:val="30"/>
              <w:szCs w:val="30"/>
              <w:lang w:val="en"/>
            </w:rPr>
            <w:t>2018-19</w:t>
          </w:r>
        </w:p>
        <w:p w14:paraId="36AE6E0A" w14:textId="6D785B93" w:rsidR="005948B4" w:rsidRPr="005948B4" w:rsidRDefault="00124069" w:rsidP="005948B4">
          <w:pPr>
            <w:jc w:val="right"/>
            <w:rPr>
              <w:b/>
              <w:i/>
              <w:color w:val="1F4E79" w:themeColor="accent1" w:themeShade="80"/>
              <w:sz w:val="30"/>
              <w:szCs w:val="30"/>
            </w:rPr>
          </w:pPr>
          <w:r>
            <w:rPr>
              <w:rFonts w:cstheme="minorHAnsi"/>
              <w:i/>
              <w:color w:val="1F4E79" w:themeColor="accent1" w:themeShade="80"/>
              <w:sz w:val="30"/>
              <w:szCs w:val="30"/>
              <w:lang w:val="en"/>
            </w:rPr>
            <w:t>September</w:t>
          </w:r>
          <w:r w:rsidR="005948B4" w:rsidRPr="005948B4">
            <w:rPr>
              <w:rFonts w:cstheme="minorHAnsi"/>
              <w:i/>
              <w:color w:val="1F4E79" w:themeColor="accent1" w:themeShade="80"/>
              <w:sz w:val="30"/>
              <w:szCs w:val="30"/>
              <w:lang w:val="en"/>
            </w:rPr>
            <w:t xml:space="preserve"> 2019</w:t>
          </w:r>
        </w:p>
        <w:p w14:paraId="6D746B2A" w14:textId="77777777" w:rsidR="007C4AD1" w:rsidRDefault="007C4AD1">
          <w:pPr>
            <w:rPr>
              <w:sz w:val="24"/>
              <w:szCs w:val="24"/>
            </w:rPr>
          </w:pPr>
        </w:p>
        <w:p w14:paraId="04ACC8F5" w14:textId="2346C807" w:rsidR="00986AED" w:rsidRPr="00682983" w:rsidRDefault="007C4AD1">
          <w:pPr>
            <w:rPr>
              <w:sz w:val="24"/>
              <w:szCs w:val="24"/>
            </w:rPr>
          </w:pPr>
          <w:r>
            <w:rPr>
              <w:sz w:val="24"/>
              <w:szCs w:val="24"/>
            </w:rPr>
            <w:t xml:space="preserve">Project web site can be accessed via </w:t>
          </w:r>
          <w:hyperlink r:id="rId13" w:history="1">
            <w:r w:rsidRPr="0033756E">
              <w:rPr>
                <w:rStyle w:val="Hyperlink"/>
                <w:sz w:val="24"/>
                <w:szCs w:val="24"/>
              </w:rPr>
              <w:t>https://federation.edu.au/schools/school-of-education/research/research-groups/rave-researching-adult-and-vocational-education</w:t>
            </w:r>
          </w:hyperlink>
        </w:p>
      </w:sdtContent>
    </w:sdt>
    <w:p w14:paraId="458F9E27" w14:textId="441F685B" w:rsidR="00682983" w:rsidRDefault="007C4AD1" w:rsidP="00CB3CE9">
      <w:pPr>
        <w:rPr>
          <w:sz w:val="24"/>
          <w:szCs w:val="24"/>
        </w:rPr>
      </w:pPr>
      <w:r>
        <w:rPr>
          <w:b/>
          <w:sz w:val="24"/>
          <w:szCs w:val="24"/>
        </w:rPr>
        <w:t xml:space="preserve">Enquiries may </w:t>
      </w:r>
      <w:r w:rsidR="00682983" w:rsidRPr="00682983">
        <w:rPr>
          <w:b/>
          <w:sz w:val="24"/>
          <w:szCs w:val="24"/>
        </w:rPr>
        <w:t xml:space="preserve">be addressed to the Project Manager Erica Smith, </w:t>
      </w:r>
      <w:hyperlink r:id="rId14" w:history="1">
        <w:r w:rsidR="00682983" w:rsidRPr="005E563B">
          <w:rPr>
            <w:rStyle w:val="Hyperlink"/>
            <w:sz w:val="24"/>
            <w:szCs w:val="24"/>
          </w:rPr>
          <w:t>e.smith@federation.edu.au</w:t>
        </w:r>
      </w:hyperlink>
      <w:r w:rsidR="00682983">
        <w:rPr>
          <w:sz w:val="24"/>
          <w:szCs w:val="24"/>
        </w:rPr>
        <w:t xml:space="preserve"> </w:t>
      </w:r>
      <w:r w:rsidR="00682983" w:rsidRPr="00682983">
        <w:rPr>
          <w:sz w:val="24"/>
          <w:szCs w:val="24"/>
        </w:rPr>
        <w:t>or 03-5327 9665</w:t>
      </w:r>
      <w:r w:rsidR="00682983">
        <w:rPr>
          <w:sz w:val="24"/>
          <w:szCs w:val="24"/>
        </w:rPr>
        <w:t>.</w:t>
      </w:r>
    </w:p>
    <w:p w14:paraId="396A4BA1" w14:textId="77777777" w:rsidR="007C4AD1" w:rsidRPr="00682983" w:rsidRDefault="007C4AD1" w:rsidP="00CB3CE9">
      <w:pPr>
        <w:rPr>
          <w:b/>
          <w:sz w:val="24"/>
          <w:szCs w:val="24"/>
        </w:rPr>
        <w:sectPr w:rsidR="007C4AD1" w:rsidRPr="00682983" w:rsidSect="009B727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0"/>
          <w:cols w:space="708"/>
          <w:docGrid w:linePitch="360"/>
        </w:sectPr>
      </w:pPr>
    </w:p>
    <w:p w14:paraId="42EBC0F3" w14:textId="129A9263" w:rsidR="00C857F1" w:rsidRPr="00682983" w:rsidRDefault="00C857F1" w:rsidP="009B727A">
      <w:pPr>
        <w:pStyle w:val="Heading1"/>
        <w:rPr>
          <w:b/>
        </w:rPr>
      </w:pPr>
      <w:bookmarkStart w:id="0" w:name="_Toc16781367"/>
      <w:r w:rsidRPr="00682983">
        <w:rPr>
          <w:rStyle w:val="Heading1Char"/>
        </w:rPr>
        <w:lastRenderedPageBreak/>
        <w:t>Executive Summary</w:t>
      </w:r>
      <w:bookmarkEnd w:id="0"/>
      <w:r w:rsidRPr="00682983">
        <w:rPr>
          <w:b/>
        </w:rPr>
        <w:t xml:space="preserve"> </w:t>
      </w:r>
    </w:p>
    <w:p w14:paraId="69561127" w14:textId="77777777" w:rsidR="00C857F1" w:rsidRPr="00682983" w:rsidRDefault="00C857F1" w:rsidP="00EB50E9">
      <w:pPr>
        <w:spacing w:after="120"/>
        <w:rPr>
          <w:b/>
        </w:rPr>
      </w:pPr>
      <w:r w:rsidRPr="00682983">
        <w:rPr>
          <w:b/>
        </w:rPr>
        <w:t>Introduction</w:t>
      </w:r>
    </w:p>
    <w:p w14:paraId="25DCEE12" w14:textId="32569585" w:rsidR="00C857F1" w:rsidRPr="00682983" w:rsidRDefault="00C857F1" w:rsidP="00CB3CE9">
      <w:pPr>
        <w:rPr>
          <w:rFonts w:cstheme="minorHAnsi"/>
          <w:color w:val="222222"/>
          <w:lang w:val="en"/>
        </w:rPr>
      </w:pPr>
      <w:r w:rsidRPr="00682983">
        <w:rPr>
          <w:rFonts w:cstheme="minorHAnsi"/>
        </w:rPr>
        <w:t>This is the final report of the project ‘</w:t>
      </w:r>
      <w:r w:rsidRPr="00682983">
        <w:rPr>
          <w:rFonts w:cstheme="minorHAnsi"/>
          <w:lang w:val="en"/>
        </w:rPr>
        <w:t xml:space="preserve">Young futures: Education, training and employment </w:t>
      </w:r>
      <w:r w:rsidR="00F97548" w:rsidRPr="00682983">
        <w:rPr>
          <w:rFonts w:cstheme="minorHAnsi"/>
          <w:lang w:val="en"/>
        </w:rPr>
        <w:t>decision-making</w:t>
      </w:r>
      <w:r w:rsidRPr="00682983">
        <w:rPr>
          <w:rFonts w:cstheme="minorHAnsi"/>
          <w:lang w:val="en"/>
        </w:rPr>
        <w:t xml:space="preserve"> in non-metropolitan areas’. </w:t>
      </w:r>
      <w:r w:rsidRPr="00682983">
        <w:rPr>
          <w:rFonts w:cstheme="minorHAnsi"/>
          <w:color w:val="222222"/>
          <w:lang w:val="en"/>
        </w:rPr>
        <w:t>The project was funded by the Department of Education and Training (DET) Victoria as a Strategic Research Seed Funding Pilot 2018-19.</w:t>
      </w:r>
    </w:p>
    <w:p w14:paraId="27A5E768" w14:textId="77777777" w:rsidR="00C857F1" w:rsidRPr="00682983" w:rsidRDefault="00C857F1" w:rsidP="00CB3CE9">
      <w:pPr>
        <w:rPr>
          <w:rFonts w:eastAsia="Times New Roman" w:cstheme="minorHAnsi"/>
          <w:color w:val="222222"/>
          <w:lang w:val="en" w:eastAsia="en-AU"/>
        </w:rPr>
      </w:pPr>
      <w:r w:rsidRPr="00682983">
        <w:rPr>
          <w:rFonts w:eastAsia="Times New Roman" w:cstheme="minorHAnsi"/>
          <w:color w:val="222222"/>
          <w:lang w:val="en" w:eastAsia="en-AU"/>
        </w:rPr>
        <w:t xml:space="preserve">The study examined the processes that young people in rural, regional and peri-urban areas go through as they make choices about their post-school trajectories, and set out to develop good practice models for communities, employers and education providers to support them. </w:t>
      </w:r>
    </w:p>
    <w:p w14:paraId="22AB4378" w14:textId="77777777" w:rsidR="00C857F1" w:rsidRPr="00682983" w:rsidRDefault="00C857F1" w:rsidP="00EB50E9">
      <w:pPr>
        <w:spacing w:after="40"/>
        <w:rPr>
          <w:rFonts w:eastAsia="Times New Roman" w:cstheme="minorHAnsi"/>
          <w:color w:val="222222"/>
          <w:lang w:val="en" w:eastAsia="en-AU"/>
        </w:rPr>
      </w:pPr>
      <w:r w:rsidRPr="00682983">
        <w:rPr>
          <w:rFonts w:eastAsia="Times New Roman" w:cstheme="minorHAnsi"/>
          <w:color w:val="222222"/>
          <w:lang w:val="en" w:eastAsia="en-AU"/>
        </w:rPr>
        <w:t xml:space="preserve">The project </w:t>
      </w:r>
      <w:r w:rsidR="007A7E1F" w:rsidRPr="00682983">
        <w:rPr>
          <w:rFonts w:eastAsia="Times New Roman" w:cstheme="minorHAnsi"/>
          <w:color w:val="222222"/>
          <w:lang w:val="en" w:eastAsia="en-AU"/>
        </w:rPr>
        <w:t xml:space="preserve">set out to answer </w:t>
      </w:r>
      <w:r w:rsidRPr="00682983">
        <w:rPr>
          <w:rFonts w:eastAsia="Times New Roman" w:cstheme="minorHAnsi"/>
          <w:color w:val="222222"/>
          <w:lang w:val="en" w:eastAsia="en-AU"/>
        </w:rPr>
        <w:t>the following questions:</w:t>
      </w:r>
    </w:p>
    <w:p w14:paraId="1F481F66" w14:textId="77777777" w:rsidR="00C857F1" w:rsidRPr="00682983" w:rsidRDefault="00C857F1" w:rsidP="00CB3CE9">
      <w:pPr>
        <w:pStyle w:val="ListParagraph"/>
        <w:numPr>
          <w:ilvl w:val="0"/>
          <w:numId w:val="1"/>
        </w:numPr>
        <w:spacing w:after="40"/>
        <w:ind w:left="714" w:hanging="357"/>
        <w:contextualSpacing w:val="0"/>
        <w:rPr>
          <w:rFonts w:cstheme="minorHAnsi"/>
        </w:rPr>
      </w:pPr>
      <w:r w:rsidRPr="00682983">
        <w:rPr>
          <w:rFonts w:cstheme="minorHAnsi"/>
        </w:rPr>
        <w:t>How do young people navigate decisions related to post-school education, training and work</w:t>
      </w:r>
      <w:r w:rsidR="007A7E1F" w:rsidRPr="00682983">
        <w:rPr>
          <w:rFonts w:cstheme="minorHAnsi"/>
        </w:rPr>
        <w:t xml:space="preserve"> and </w:t>
      </w:r>
      <w:r w:rsidRPr="00682983">
        <w:rPr>
          <w:rFonts w:cstheme="minorHAnsi"/>
        </w:rPr>
        <w:t xml:space="preserve">what decisions do they make? </w:t>
      </w:r>
    </w:p>
    <w:p w14:paraId="2CE94680" w14:textId="77777777" w:rsidR="00C857F1" w:rsidRPr="00682983" w:rsidRDefault="00C857F1" w:rsidP="00CB3CE9">
      <w:pPr>
        <w:pStyle w:val="ListParagraph"/>
        <w:numPr>
          <w:ilvl w:val="0"/>
          <w:numId w:val="1"/>
        </w:numPr>
        <w:spacing w:after="40"/>
        <w:ind w:left="714" w:hanging="357"/>
        <w:contextualSpacing w:val="0"/>
        <w:rPr>
          <w:rFonts w:eastAsia="Times New Roman" w:cstheme="minorHAnsi"/>
          <w:color w:val="222222"/>
          <w:lang w:val="en" w:eastAsia="en-AU"/>
        </w:rPr>
      </w:pPr>
      <w:r w:rsidRPr="00682983">
        <w:rPr>
          <w:rFonts w:eastAsia="Times New Roman" w:cstheme="minorHAnsi"/>
          <w:color w:val="222222"/>
          <w:lang w:val="en" w:eastAsia="en-AU"/>
        </w:rPr>
        <w:t xml:space="preserve">Who </w:t>
      </w:r>
      <w:r w:rsidR="007A7E1F" w:rsidRPr="00682983">
        <w:rPr>
          <w:rFonts w:eastAsia="Times New Roman" w:cstheme="minorHAnsi"/>
          <w:color w:val="222222"/>
          <w:lang w:val="en" w:eastAsia="en-AU"/>
        </w:rPr>
        <w:t xml:space="preserve">and what </w:t>
      </w:r>
      <w:r w:rsidRPr="00682983">
        <w:rPr>
          <w:rFonts w:eastAsia="Times New Roman" w:cstheme="minorHAnsi"/>
          <w:color w:val="222222"/>
          <w:lang w:val="en" w:eastAsia="en-AU"/>
        </w:rPr>
        <w:t>are the influencers and how do they affect the decisions?</w:t>
      </w:r>
    </w:p>
    <w:p w14:paraId="0C426A0E" w14:textId="77777777" w:rsidR="00C857F1" w:rsidRPr="00682983" w:rsidRDefault="00C857F1" w:rsidP="007B6540">
      <w:pPr>
        <w:pStyle w:val="ListParagraph"/>
        <w:numPr>
          <w:ilvl w:val="0"/>
          <w:numId w:val="1"/>
        </w:numPr>
        <w:ind w:left="714" w:hanging="357"/>
        <w:contextualSpacing w:val="0"/>
        <w:rPr>
          <w:rFonts w:eastAsia="Times New Roman" w:cstheme="minorHAnsi"/>
          <w:color w:val="222222"/>
          <w:lang w:val="en" w:eastAsia="en-AU"/>
        </w:rPr>
      </w:pPr>
      <w:r w:rsidRPr="00682983">
        <w:rPr>
          <w:rFonts w:eastAsia="Times New Roman" w:cstheme="minorHAnsi"/>
          <w:color w:val="222222"/>
          <w:lang w:val="en" w:eastAsia="en-AU"/>
        </w:rPr>
        <w:t>What could change to provide better post-school outcomes for a larger proportion of young people?</w:t>
      </w:r>
    </w:p>
    <w:p w14:paraId="6AEB4E7C" w14:textId="77777777" w:rsidR="00C857F1" w:rsidRPr="00682983" w:rsidRDefault="00C857F1" w:rsidP="00EB50E9">
      <w:pPr>
        <w:spacing w:after="120"/>
        <w:rPr>
          <w:rFonts w:eastAsia="Times New Roman" w:cstheme="minorHAnsi"/>
          <w:b/>
          <w:color w:val="222222"/>
          <w:lang w:val="en" w:eastAsia="en-AU"/>
        </w:rPr>
      </w:pPr>
      <w:r w:rsidRPr="00682983">
        <w:rPr>
          <w:rFonts w:eastAsia="Times New Roman" w:cstheme="minorHAnsi"/>
          <w:b/>
          <w:color w:val="222222"/>
          <w:lang w:val="en" w:eastAsia="en-AU"/>
        </w:rPr>
        <w:t>Rationale</w:t>
      </w:r>
    </w:p>
    <w:p w14:paraId="602EDC1D" w14:textId="0A1EB913" w:rsidR="00C857F1" w:rsidRPr="00682983" w:rsidRDefault="00C857F1" w:rsidP="00CB3CE9">
      <w:pPr>
        <w:rPr>
          <w:rFonts w:cstheme="minorHAnsi"/>
          <w:color w:val="222222"/>
          <w:lang w:val="en"/>
        </w:rPr>
      </w:pPr>
      <w:r w:rsidRPr="00682983">
        <w:rPr>
          <w:rFonts w:cstheme="minorHAnsi"/>
          <w:color w:val="222222"/>
          <w:lang w:val="en"/>
        </w:rPr>
        <w:t>Young people in regional, rural and peri-urban communities</w:t>
      </w:r>
      <w:r w:rsidR="00F97548" w:rsidRPr="00682983">
        <w:rPr>
          <w:rFonts w:cstheme="minorHAnsi"/>
          <w:color w:val="222222"/>
          <w:lang w:val="en"/>
        </w:rPr>
        <w:t xml:space="preserve"> face particular challenges in imagining</w:t>
      </w:r>
      <w:r w:rsidRPr="00682983">
        <w:rPr>
          <w:rFonts w:cstheme="minorHAnsi"/>
          <w:color w:val="222222"/>
          <w:lang w:val="en"/>
        </w:rPr>
        <w:t xml:space="preserve"> and navigating their post-school futures. In particular geographical areas, choices may be constrained by economic dislocation, distance, and community or cultural issues. These locational factors may be compounded by individual disadvantage</w:t>
      </w:r>
      <w:r w:rsidR="00AE1047" w:rsidRPr="00682983">
        <w:rPr>
          <w:rFonts w:cstheme="minorHAnsi"/>
          <w:color w:val="222222"/>
          <w:lang w:val="en"/>
        </w:rPr>
        <w:t xml:space="preserve">. </w:t>
      </w:r>
      <w:r w:rsidRPr="00682983">
        <w:rPr>
          <w:rFonts w:cstheme="minorHAnsi"/>
          <w:lang w:val="en"/>
        </w:rPr>
        <w:t xml:space="preserve">Regional/rural communities </w:t>
      </w:r>
      <w:r w:rsidRPr="00682983">
        <w:rPr>
          <w:rFonts w:cstheme="minorHAnsi"/>
          <w:color w:val="222222"/>
          <w:lang w:val="en"/>
        </w:rPr>
        <w:t xml:space="preserve">also suffer if they are not fully utilising the considerable resource available in their young people. While there has been other research into young people’s transition from school in rural and regional areas, both in Australia and overseas, the project is believed to be the first to specifically examine peri-urban areas. As the population of Victoria continues to grow, these areas will continue to be of vital importance. </w:t>
      </w:r>
    </w:p>
    <w:p w14:paraId="00BF2220" w14:textId="77777777" w:rsidR="00C857F1" w:rsidRPr="00682983" w:rsidRDefault="00C857F1" w:rsidP="00EB50E9">
      <w:pPr>
        <w:spacing w:after="120"/>
        <w:rPr>
          <w:rFonts w:cstheme="minorHAnsi"/>
          <w:b/>
          <w:color w:val="222222"/>
          <w:lang w:val="en"/>
        </w:rPr>
      </w:pPr>
      <w:r w:rsidRPr="00682983">
        <w:rPr>
          <w:rFonts w:cstheme="minorHAnsi"/>
          <w:b/>
          <w:color w:val="222222"/>
          <w:lang w:val="en"/>
        </w:rPr>
        <w:t>Methodology summary</w:t>
      </w:r>
    </w:p>
    <w:p w14:paraId="3F8CD415" w14:textId="1CA636CE" w:rsidR="00C857F1" w:rsidRPr="00682983" w:rsidRDefault="00C857F1" w:rsidP="00EB50E9">
      <w:pPr>
        <w:spacing w:after="40"/>
        <w:rPr>
          <w:rFonts w:cstheme="minorHAnsi"/>
        </w:rPr>
      </w:pPr>
      <w:r w:rsidRPr="00682983">
        <w:rPr>
          <w:rFonts w:cstheme="minorHAnsi"/>
        </w:rPr>
        <w:t xml:space="preserve">The research was carried out in six communities across the State of Victoria, </w:t>
      </w:r>
      <w:r w:rsidRPr="00682983">
        <w:rPr>
          <w:rFonts w:cstheme="minorHAnsi"/>
          <w:color w:val="222222"/>
          <w:lang w:val="en"/>
        </w:rPr>
        <w:t>during the third quarter of 2018 and the first half of 2019</w:t>
      </w:r>
      <w:r w:rsidRPr="00682983">
        <w:rPr>
          <w:rFonts w:cstheme="minorHAnsi"/>
        </w:rPr>
        <w:t xml:space="preserve">.  The locations were determined in conjunction with the </w:t>
      </w:r>
      <w:r w:rsidR="00F97548" w:rsidRPr="00682983">
        <w:rPr>
          <w:rFonts w:cstheme="minorHAnsi"/>
        </w:rPr>
        <w:t>Victorian Department of Education and Traini</w:t>
      </w:r>
      <w:r w:rsidR="00683471" w:rsidRPr="00682983">
        <w:rPr>
          <w:rFonts w:cstheme="minorHAnsi"/>
        </w:rPr>
        <w:t>n</w:t>
      </w:r>
      <w:r w:rsidR="00F97548" w:rsidRPr="00682983">
        <w:rPr>
          <w:rFonts w:cstheme="minorHAnsi"/>
        </w:rPr>
        <w:t>g</w:t>
      </w:r>
      <w:r w:rsidRPr="00682983">
        <w:rPr>
          <w:rFonts w:cstheme="minorHAnsi"/>
        </w:rPr>
        <w:t xml:space="preserve">. Three were rural/regional towns, each being two to three hours’ drive from Melbourne; three were peri-urban areas on the outskirts of Melbourne, two with rapidly growing populations with high migrant diversity, and one a rural town with an industrial history just outside the city boundaries. </w:t>
      </w:r>
    </w:p>
    <w:p w14:paraId="18B0F4C9" w14:textId="77777777" w:rsidR="00C857F1" w:rsidRPr="00682983" w:rsidRDefault="00C857F1" w:rsidP="00EB50E9">
      <w:pPr>
        <w:pStyle w:val="ListParagraph"/>
        <w:numPr>
          <w:ilvl w:val="0"/>
          <w:numId w:val="3"/>
        </w:numPr>
        <w:spacing w:after="40"/>
        <w:contextualSpacing w:val="0"/>
        <w:rPr>
          <w:rFonts w:cstheme="minorHAnsi"/>
        </w:rPr>
      </w:pPr>
      <w:r w:rsidRPr="00682983">
        <w:rPr>
          <w:rFonts w:cstheme="minorHAnsi"/>
        </w:rPr>
        <w:t>Rural/regional towns: Horsham, Sale, Shepparton.</w:t>
      </w:r>
    </w:p>
    <w:p w14:paraId="57AB8914" w14:textId="77777777" w:rsidR="00C857F1" w:rsidRPr="00682983" w:rsidRDefault="00C857F1" w:rsidP="00EB50E9">
      <w:pPr>
        <w:pStyle w:val="ListParagraph"/>
        <w:numPr>
          <w:ilvl w:val="0"/>
          <w:numId w:val="3"/>
        </w:numPr>
        <w:spacing w:after="40"/>
        <w:contextualSpacing w:val="0"/>
        <w:rPr>
          <w:rFonts w:cstheme="minorHAnsi"/>
        </w:rPr>
      </w:pPr>
      <w:r w:rsidRPr="00682983">
        <w:rPr>
          <w:rFonts w:cstheme="minorHAnsi"/>
        </w:rPr>
        <w:t>Peri-urban sites: Berwick, Hastings, Werribee.</w:t>
      </w:r>
    </w:p>
    <w:p w14:paraId="6AB697BC" w14:textId="27678FC3" w:rsidR="00C857F1" w:rsidRPr="00682983" w:rsidRDefault="00C857F1" w:rsidP="00CB3CE9">
      <w:pPr>
        <w:rPr>
          <w:rFonts w:cstheme="minorHAnsi"/>
        </w:rPr>
      </w:pPr>
      <w:r w:rsidRPr="00682983">
        <w:rPr>
          <w:rFonts w:cstheme="minorHAnsi"/>
        </w:rPr>
        <w:t xml:space="preserve">Only one location had higher than the Victorian average household income; and </w:t>
      </w:r>
      <w:r w:rsidR="007A7E1F" w:rsidRPr="00682983">
        <w:rPr>
          <w:rFonts w:cstheme="minorHAnsi"/>
        </w:rPr>
        <w:t>four were below the</w:t>
      </w:r>
      <w:r w:rsidRPr="00682983">
        <w:rPr>
          <w:rFonts w:cstheme="minorHAnsi"/>
        </w:rPr>
        <w:t xml:space="preserve"> State average for progression of school-leavers to further or higher education.</w:t>
      </w:r>
    </w:p>
    <w:p w14:paraId="4B0302AE" w14:textId="2F410BDA" w:rsidR="00566D8D" w:rsidRPr="00682983" w:rsidRDefault="00566D8D" w:rsidP="00CB3CE9">
      <w:pPr>
        <w:rPr>
          <w:rFonts w:cstheme="minorHAnsi"/>
          <w:color w:val="222222"/>
          <w:lang w:val="en"/>
        </w:rPr>
      </w:pPr>
      <w:r w:rsidRPr="00682983">
        <w:rPr>
          <w:rFonts w:cstheme="minorHAnsi"/>
        </w:rPr>
        <w:t>In total, 212 people participated in the research, including 112 young people. The contribution of all participants is deeply appreciated.</w:t>
      </w:r>
      <w:r w:rsidR="00EB50E9" w:rsidRPr="00682983">
        <w:rPr>
          <w:rFonts w:cstheme="minorHAnsi"/>
        </w:rPr>
        <w:t xml:space="preserve"> This is a significant number of participants, but represents a small number compared with relevant populations in Victoria. However, trustworthiness of the findings is increased by the multi-site nature of the research, multiple triangulations among different participant  groups and triangulation against On Track reports.</w:t>
      </w:r>
    </w:p>
    <w:p w14:paraId="79E7EE78" w14:textId="5675FB01" w:rsidR="00C857F1" w:rsidRPr="00682983" w:rsidRDefault="00B12D45" w:rsidP="00CB3CE9">
      <w:pPr>
        <w:rPr>
          <w:rFonts w:cstheme="minorHAnsi"/>
          <w:color w:val="222222"/>
          <w:lang w:val="en"/>
        </w:rPr>
      </w:pPr>
      <w:r w:rsidRPr="00682983">
        <w:rPr>
          <w:rFonts w:cstheme="minorHAnsi"/>
          <w:color w:val="222222"/>
          <w:lang w:val="en"/>
        </w:rPr>
        <w:t xml:space="preserve">At each site, </w:t>
      </w:r>
      <w:r w:rsidR="00C857F1" w:rsidRPr="00682983">
        <w:rPr>
          <w:rFonts w:cstheme="minorHAnsi"/>
          <w:color w:val="222222"/>
          <w:lang w:val="en"/>
        </w:rPr>
        <w:t xml:space="preserve">three phases of </w:t>
      </w:r>
      <w:r w:rsidRPr="00682983">
        <w:rPr>
          <w:rFonts w:cstheme="minorHAnsi"/>
          <w:color w:val="222222"/>
          <w:lang w:val="en"/>
        </w:rPr>
        <w:t xml:space="preserve">qualitative research </w:t>
      </w:r>
      <w:r w:rsidR="00C857F1" w:rsidRPr="00682983">
        <w:rPr>
          <w:rFonts w:cstheme="minorHAnsi"/>
          <w:color w:val="222222"/>
          <w:lang w:val="en"/>
        </w:rPr>
        <w:t>were undertaken</w:t>
      </w:r>
      <w:r w:rsidRPr="00682983">
        <w:rPr>
          <w:rFonts w:cstheme="minorHAnsi"/>
          <w:color w:val="222222"/>
          <w:lang w:val="en"/>
        </w:rPr>
        <w:t xml:space="preserve">; and a fourth phase of the project was a desk analysis of </w:t>
      </w:r>
      <w:r w:rsidR="00EB50E9" w:rsidRPr="00682983">
        <w:rPr>
          <w:rFonts w:cstheme="minorHAnsi"/>
          <w:color w:val="222222"/>
          <w:lang w:val="en"/>
        </w:rPr>
        <w:t xml:space="preserve">publicly-available </w:t>
      </w:r>
      <w:r w:rsidRPr="00682983">
        <w:rPr>
          <w:rFonts w:cstheme="minorHAnsi"/>
          <w:color w:val="222222"/>
          <w:lang w:val="en"/>
        </w:rPr>
        <w:t xml:space="preserve">‘On Track’ statistical </w:t>
      </w:r>
      <w:r w:rsidR="00EB50E9" w:rsidRPr="00682983">
        <w:rPr>
          <w:rFonts w:cstheme="minorHAnsi"/>
          <w:color w:val="222222"/>
          <w:lang w:val="en"/>
        </w:rPr>
        <w:t>reports</w:t>
      </w:r>
      <w:r w:rsidR="00C857F1" w:rsidRPr="00682983">
        <w:rPr>
          <w:rFonts w:cstheme="minorHAnsi"/>
          <w:color w:val="222222"/>
          <w:lang w:val="en"/>
        </w:rPr>
        <w:t>.</w:t>
      </w:r>
      <w:r w:rsidR="00330BE9" w:rsidRPr="00682983">
        <w:rPr>
          <w:rFonts w:cstheme="minorHAnsi"/>
          <w:color w:val="222222"/>
          <w:lang w:val="en"/>
        </w:rPr>
        <w:t xml:space="preserve"> The four phases were:</w:t>
      </w:r>
    </w:p>
    <w:p w14:paraId="51B4765E" w14:textId="1F4F18A7" w:rsidR="00C857F1" w:rsidRPr="00682983" w:rsidRDefault="00C857F1" w:rsidP="009969F4">
      <w:pPr>
        <w:pStyle w:val="ListParagraph"/>
        <w:numPr>
          <w:ilvl w:val="0"/>
          <w:numId w:val="2"/>
        </w:numPr>
        <w:spacing w:after="80"/>
        <w:ind w:left="714" w:hanging="357"/>
        <w:contextualSpacing w:val="0"/>
        <w:rPr>
          <w:rFonts w:cstheme="minorHAnsi"/>
        </w:rPr>
      </w:pPr>
      <w:r w:rsidRPr="00682983">
        <w:rPr>
          <w:rFonts w:cstheme="minorHAnsi"/>
        </w:rPr>
        <w:lastRenderedPageBreak/>
        <w:t xml:space="preserve">58 interviews with community stakeholders who worked with young people aged 15-24, an average of 9.5 per site. Significant stakeholders were selected according to a defined protocol. These included organisations working with young people, including intermediary apprenticeship providers, local and nearby higher and further education providers, employers of young people, and </w:t>
      </w:r>
      <w:r w:rsidR="00F97548" w:rsidRPr="00682983">
        <w:rPr>
          <w:rFonts w:cstheme="minorHAnsi"/>
        </w:rPr>
        <w:t>Aboriginal</w:t>
      </w:r>
      <w:r w:rsidR="003D4868" w:rsidRPr="00682983">
        <w:rPr>
          <w:rFonts w:cstheme="minorHAnsi"/>
        </w:rPr>
        <w:t xml:space="preserve"> and/or migrant organisations.</w:t>
      </w:r>
    </w:p>
    <w:p w14:paraId="132DC8E5" w14:textId="001CA3BE" w:rsidR="00C857F1" w:rsidRPr="00682983" w:rsidRDefault="00C857F1" w:rsidP="009969F4">
      <w:pPr>
        <w:pStyle w:val="ListParagraph"/>
        <w:numPr>
          <w:ilvl w:val="0"/>
          <w:numId w:val="2"/>
        </w:numPr>
        <w:spacing w:after="80"/>
        <w:ind w:left="714" w:hanging="357"/>
        <w:contextualSpacing w:val="0"/>
        <w:rPr>
          <w:rFonts w:cstheme="minorHAnsi"/>
        </w:rPr>
      </w:pPr>
      <w:r w:rsidRPr="00682983">
        <w:rPr>
          <w:rFonts w:cstheme="minorHAnsi"/>
        </w:rPr>
        <w:t>Interviews and focus groups at two schools at each site. At all schools, the Principal or delegate and at least one careers staff member were interviewed, a total of 32 interviews. At the government schools, separate focus groups of Year 11 and Year 12 were held, a total of 90 students. Each student also completed a pre-focus group ‘snapshot survey’ of demographic and other details, and intended post-school destinations.</w:t>
      </w:r>
    </w:p>
    <w:p w14:paraId="2CB67359" w14:textId="3E85C669" w:rsidR="00B12D45" w:rsidRPr="00682983" w:rsidRDefault="00330BE9" w:rsidP="009969F4">
      <w:pPr>
        <w:pStyle w:val="ListParagraph"/>
        <w:numPr>
          <w:ilvl w:val="0"/>
          <w:numId w:val="2"/>
        </w:numPr>
        <w:spacing w:after="80"/>
        <w:ind w:left="714" w:hanging="357"/>
        <w:contextualSpacing w:val="0"/>
        <w:rPr>
          <w:rFonts w:cstheme="minorHAnsi"/>
        </w:rPr>
      </w:pPr>
      <w:r w:rsidRPr="00682983">
        <w:rPr>
          <w:rFonts w:cstheme="minorHAnsi"/>
        </w:rPr>
        <w:t xml:space="preserve">Interviews with </w:t>
      </w:r>
      <w:r w:rsidR="00C857F1" w:rsidRPr="00682983">
        <w:rPr>
          <w:rFonts w:cstheme="minorHAnsi"/>
        </w:rPr>
        <w:t>32 young peop</w:t>
      </w:r>
      <w:r w:rsidRPr="00682983">
        <w:rPr>
          <w:rFonts w:cstheme="minorHAnsi"/>
        </w:rPr>
        <w:t xml:space="preserve">le, who had left school in 2017, </w:t>
      </w:r>
      <w:r w:rsidR="00C857F1" w:rsidRPr="00682983">
        <w:rPr>
          <w:rFonts w:cstheme="minorHAnsi"/>
        </w:rPr>
        <w:t xml:space="preserve">in their home town location, at university or </w:t>
      </w:r>
      <w:r w:rsidR="00683471" w:rsidRPr="00682983">
        <w:rPr>
          <w:rFonts w:cstheme="minorHAnsi"/>
        </w:rPr>
        <w:t>Technical and Further Education (</w:t>
      </w:r>
      <w:r w:rsidR="00C857F1" w:rsidRPr="00682983">
        <w:rPr>
          <w:rFonts w:cstheme="minorHAnsi"/>
        </w:rPr>
        <w:t>TAFE</w:t>
      </w:r>
      <w:r w:rsidR="00683471" w:rsidRPr="00682983">
        <w:rPr>
          <w:rFonts w:cstheme="minorHAnsi"/>
        </w:rPr>
        <w:t>)</w:t>
      </w:r>
      <w:r w:rsidR="00C857F1" w:rsidRPr="00682983">
        <w:rPr>
          <w:rFonts w:cstheme="minorHAnsi"/>
        </w:rPr>
        <w:t>, or by phone; i</w:t>
      </w:r>
      <w:r w:rsidR="00683471" w:rsidRPr="00682983">
        <w:rPr>
          <w:rFonts w:cstheme="minorHAnsi"/>
        </w:rPr>
        <w:t>n small groups or individually.</w:t>
      </w:r>
      <w:r w:rsidR="00C857F1" w:rsidRPr="00682983">
        <w:rPr>
          <w:rFonts w:cstheme="minorHAnsi"/>
        </w:rPr>
        <w:t xml:space="preserve"> These young people were accessed with the help of local stakeholders and, in some cases, education providers at the education institutions which the young people were attending. As with Phase 2, each young person also completed pre-focus group/interview ‘snapshot</w:t>
      </w:r>
      <w:r w:rsidR="007A7E1F" w:rsidRPr="00682983">
        <w:rPr>
          <w:rFonts w:cstheme="minorHAnsi"/>
        </w:rPr>
        <w:t xml:space="preserve"> survey’</w:t>
      </w:r>
      <w:r w:rsidR="00C857F1" w:rsidRPr="00682983">
        <w:rPr>
          <w:rFonts w:cstheme="minorHAnsi"/>
        </w:rPr>
        <w:t>, this time</w:t>
      </w:r>
      <w:r w:rsidR="007A7E1F" w:rsidRPr="00682983">
        <w:rPr>
          <w:rFonts w:cstheme="minorHAnsi"/>
        </w:rPr>
        <w:t xml:space="preserve"> also</w:t>
      </w:r>
      <w:r w:rsidR="00C857F1" w:rsidRPr="00682983">
        <w:rPr>
          <w:rFonts w:cstheme="minorHAnsi"/>
        </w:rPr>
        <w:t xml:space="preserve"> including intended and actual post-school destinations.</w:t>
      </w:r>
    </w:p>
    <w:p w14:paraId="4A73F179" w14:textId="0F7B2FF8" w:rsidR="00B12D45" w:rsidRPr="00682983" w:rsidRDefault="00330BE9" w:rsidP="00BF7F89">
      <w:pPr>
        <w:pStyle w:val="ListParagraph"/>
        <w:numPr>
          <w:ilvl w:val="0"/>
          <w:numId w:val="2"/>
        </w:numPr>
        <w:spacing w:after="80"/>
        <w:ind w:left="714" w:hanging="357"/>
        <w:contextualSpacing w:val="0"/>
        <w:rPr>
          <w:rFonts w:cstheme="minorHAnsi"/>
        </w:rPr>
      </w:pPr>
      <w:r w:rsidRPr="00682983">
        <w:rPr>
          <w:rFonts w:cstheme="minorHAnsi"/>
        </w:rPr>
        <w:t>Analysis of t</w:t>
      </w:r>
      <w:r w:rsidR="00B12D45" w:rsidRPr="00682983">
        <w:rPr>
          <w:rFonts w:cstheme="minorHAnsi"/>
        </w:rPr>
        <w:t xml:space="preserve">he </w:t>
      </w:r>
      <w:r w:rsidRPr="00682983">
        <w:rPr>
          <w:rFonts w:cstheme="minorHAnsi"/>
        </w:rPr>
        <w:t xml:space="preserve">relevant Victorian Government </w:t>
      </w:r>
      <w:r w:rsidR="00B12D45" w:rsidRPr="00682983">
        <w:rPr>
          <w:rFonts w:cstheme="minorHAnsi"/>
        </w:rPr>
        <w:t xml:space="preserve">‘On Track’ survey </w:t>
      </w:r>
      <w:r w:rsidRPr="00682983">
        <w:rPr>
          <w:rFonts w:cstheme="minorHAnsi"/>
        </w:rPr>
        <w:t xml:space="preserve">reports for 2018, to garner </w:t>
      </w:r>
      <w:r w:rsidR="00B12D45" w:rsidRPr="00682983">
        <w:rPr>
          <w:rFonts w:cstheme="minorHAnsi"/>
        </w:rPr>
        <w:t xml:space="preserve"> further information and also to triangulate the qualitative findings. The publicly available reports for </w:t>
      </w:r>
      <w:r w:rsidRPr="00682983">
        <w:rPr>
          <w:rFonts w:cstheme="minorHAnsi"/>
        </w:rPr>
        <w:t>the relevant</w:t>
      </w:r>
      <w:r w:rsidR="00B12D45" w:rsidRPr="00682983">
        <w:rPr>
          <w:rFonts w:cstheme="minorHAnsi"/>
        </w:rPr>
        <w:t xml:space="preserve"> </w:t>
      </w:r>
      <w:r w:rsidRPr="00682983">
        <w:rPr>
          <w:rFonts w:cstheme="minorHAnsi"/>
        </w:rPr>
        <w:t xml:space="preserve">local government areas </w:t>
      </w:r>
      <w:r w:rsidR="00B12D45" w:rsidRPr="00682983">
        <w:rPr>
          <w:rFonts w:cstheme="minorHAnsi"/>
        </w:rPr>
        <w:t>were analysed for key variables, including destinations and views about career advice received at school.</w:t>
      </w:r>
    </w:p>
    <w:p w14:paraId="0BEDF0F5" w14:textId="24B9B69C" w:rsidR="00C857F1" w:rsidRPr="00682983" w:rsidRDefault="00C857F1" w:rsidP="00CB3CE9">
      <w:pPr>
        <w:rPr>
          <w:rFonts w:cstheme="minorHAnsi"/>
        </w:rPr>
      </w:pPr>
      <w:r w:rsidRPr="00682983">
        <w:rPr>
          <w:rFonts w:cstheme="minorHAnsi"/>
        </w:rPr>
        <w:t xml:space="preserve">Separate case studies were written for each site, </w:t>
      </w:r>
      <w:r w:rsidR="00F063C7" w:rsidRPr="00682983">
        <w:rPr>
          <w:rFonts w:cstheme="minorHAnsi"/>
        </w:rPr>
        <w:t>synthesising the</w:t>
      </w:r>
      <w:r w:rsidRPr="00682983">
        <w:rPr>
          <w:rFonts w:cstheme="minorHAnsi"/>
        </w:rPr>
        <w:t xml:space="preserve"> data from each of phases 1 and 2 and 3, to aid analysis.</w:t>
      </w:r>
      <w:r w:rsidR="00AE1047" w:rsidRPr="00682983">
        <w:rPr>
          <w:rFonts w:cstheme="minorHAnsi"/>
        </w:rPr>
        <w:t xml:space="preserve"> These were then combined into ‘compound’ case studies for each site.</w:t>
      </w:r>
    </w:p>
    <w:p w14:paraId="6A011028" w14:textId="21F45FAF" w:rsidR="00AE1047" w:rsidRPr="00682983" w:rsidRDefault="00AE1047" w:rsidP="00CB3CE9">
      <w:pPr>
        <w:rPr>
          <w:rFonts w:cstheme="minorHAnsi"/>
        </w:rPr>
      </w:pPr>
      <w:r w:rsidRPr="00682983">
        <w:rPr>
          <w:rFonts w:cstheme="minorHAnsi"/>
        </w:rPr>
        <w:t>For the final analysis, syntheses of each of the three fieldwork phases and the On Track data were</w:t>
      </w:r>
      <w:r w:rsidR="00683471" w:rsidRPr="00682983">
        <w:rPr>
          <w:rFonts w:cstheme="minorHAnsi"/>
        </w:rPr>
        <w:t xml:space="preserve"> combined in a short overview, </w:t>
      </w:r>
      <w:r w:rsidRPr="00682983">
        <w:rPr>
          <w:rFonts w:cstheme="minorHAnsi"/>
        </w:rPr>
        <w:t xml:space="preserve">and implications for each of the following stakeholder groups were drawn out: Policy-makers, schools, </w:t>
      </w:r>
      <w:r w:rsidR="007A7E1F" w:rsidRPr="00682983">
        <w:rPr>
          <w:rFonts w:cstheme="minorHAnsi"/>
        </w:rPr>
        <w:t xml:space="preserve">community organisations, </w:t>
      </w:r>
      <w:r w:rsidRPr="00682983">
        <w:rPr>
          <w:rFonts w:cstheme="minorHAnsi"/>
        </w:rPr>
        <w:t>tertiary providers</w:t>
      </w:r>
      <w:r w:rsidR="00CB3CE9" w:rsidRPr="00682983">
        <w:rPr>
          <w:rFonts w:cstheme="minorHAnsi"/>
        </w:rPr>
        <w:t>,</w:t>
      </w:r>
      <w:r w:rsidRPr="00682983">
        <w:rPr>
          <w:rFonts w:cstheme="minorHAnsi"/>
        </w:rPr>
        <w:t xml:space="preserve"> </w:t>
      </w:r>
      <w:r w:rsidR="007A7E1F" w:rsidRPr="00682983">
        <w:rPr>
          <w:rFonts w:cstheme="minorHAnsi"/>
        </w:rPr>
        <w:t>and young people and their families.</w:t>
      </w:r>
      <w:r w:rsidR="00F97548" w:rsidRPr="00682983">
        <w:rPr>
          <w:rFonts w:cstheme="minorHAnsi"/>
        </w:rPr>
        <w:t xml:space="preserve"> The findings are drawn from the views of all participants, not just young people’s.</w:t>
      </w:r>
    </w:p>
    <w:p w14:paraId="116C86A8" w14:textId="446A66AD" w:rsidR="00986AED" w:rsidRPr="00682983" w:rsidRDefault="00330BE9" w:rsidP="00CB3CE9">
      <w:pPr>
        <w:rPr>
          <w:rFonts w:cstheme="minorHAnsi"/>
          <w:b/>
          <w:color w:val="222222"/>
          <w:lang w:val="en"/>
        </w:rPr>
      </w:pPr>
      <w:r w:rsidRPr="00682983">
        <w:rPr>
          <w:rFonts w:cstheme="minorHAnsi"/>
          <w:b/>
          <w:color w:val="222222"/>
          <w:lang w:val="en"/>
        </w:rPr>
        <w:t>Key findings of the project</w:t>
      </w:r>
      <w:r w:rsidR="00F97548" w:rsidRPr="00682983">
        <w:rPr>
          <w:rFonts w:cstheme="minorHAnsi"/>
          <w:b/>
          <w:color w:val="222222"/>
          <w:lang w:val="en"/>
        </w:rPr>
        <w:t>, derived from all phases of the research</w:t>
      </w:r>
      <w:r w:rsidR="00BF7F89">
        <w:rPr>
          <w:rFonts w:cstheme="minorHAnsi"/>
          <w:b/>
          <w:color w:val="222222"/>
          <w:lang w:val="en"/>
        </w:rPr>
        <w:t xml:space="preserve"> (See main report for details)</w:t>
      </w:r>
    </w:p>
    <w:tbl>
      <w:tblPr>
        <w:tblStyle w:val="TableGrid"/>
        <w:tblW w:w="0" w:type="auto"/>
        <w:tblInd w:w="0" w:type="dxa"/>
        <w:tblLook w:val="04A0" w:firstRow="1" w:lastRow="0" w:firstColumn="1" w:lastColumn="0" w:noHBand="0" w:noVBand="1"/>
      </w:tblPr>
      <w:tblGrid>
        <w:gridCol w:w="9016"/>
      </w:tblGrid>
      <w:tr w:rsidR="00330BE9" w:rsidRPr="00682983" w14:paraId="4B0BEC6B" w14:textId="77777777" w:rsidTr="00330BE9">
        <w:tc>
          <w:tcPr>
            <w:tcW w:w="9016" w:type="dxa"/>
            <w:shd w:val="clear" w:color="auto" w:fill="F2F2F2" w:themeFill="background1" w:themeFillShade="F2"/>
          </w:tcPr>
          <w:p w14:paraId="019E6246" w14:textId="2039B34B" w:rsidR="00330BE9" w:rsidRPr="00682983" w:rsidRDefault="00330BE9" w:rsidP="00330BE9">
            <w:pPr>
              <w:pStyle w:val="ListParagraph"/>
              <w:numPr>
                <w:ilvl w:val="0"/>
                <w:numId w:val="34"/>
              </w:numPr>
              <w:spacing w:after="40"/>
              <w:ind w:left="714" w:hanging="357"/>
              <w:contextualSpacing w:val="0"/>
            </w:pPr>
            <w:r w:rsidRPr="00682983">
              <w:t>Most young people experience considerable stress when deciding what to do after school, generally at the same time as studying hard for good Year 12 results. Decisions made under stress may be sub-optimal, and he</w:t>
            </w:r>
            <w:r w:rsidR="00F97548" w:rsidRPr="00682983">
              <w:t>nce more reassurance about fall</w:t>
            </w:r>
            <w:r w:rsidRPr="00682983">
              <w:t>back choices and alternative outcomes needs to be provided.</w:t>
            </w:r>
          </w:p>
          <w:p w14:paraId="342CB8C6" w14:textId="77777777" w:rsidR="00330BE9" w:rsidRPr="00682983" w:rsidRDefault="00330BE9" w:rsidP="00330BE9">
            <w:pPr>
              <w:pStyle w:val="ListParagraph"/>
              <w:numPr>
                <w:ilvl w:val="0"/>
                <w:numId w:val="34"/>
              </w:numPr>
              <w:spacing w:after="40"/>
              <w:ind w:left="714" w:hanging="357"/>
              <w:contextualSpacing w:val="0"/>
            </w:pPr>
            <w:r w:rsidRPr="00682983">
              <w:t>A proportion of young people are clear from a young age what they want to do, those plans generally being associated with an occupation, or more broadly an industry; and sometimes with going to university or entering ‘a trade’ as non-specific destinations. These decisions are quite often gendered.</w:t>
            </w:r>
          </w:p>
          <w:p w14:paraId="32B95741" w14:textId="36CD6E1A" w:rsidR="00330BE9" w:rsidRPr="00682983" w:rsidRDefault="00330BE9" w:rsidP="00330BE9">
            <w:pPr>
              <w:pStyle w:val="ListParagraph"/>
              <w:numPr>
                <w:ilvl w:val="0"/>
                <w:numId w:val="34"/>
              </w:numPr>
              <w:spacing w:after="40"/>
              <w:ind w:left="714" w:hanging="357"/>
              <w:contextualSpacing w:val="0"/>
            </w:pPr>
            <w:r w:rsidRPr="00682983">
              <w:t xml:space="preserve">Parents are the most common influences on young people’s decisions, often with contributions from other family members. These may involve high or low aspirations, gendered expectations, or may result more generally from family backgrounds in terms of </w:t>
            </w:r>
            <w:r w:rsidR="00F97548" w:rsidRPr="00682983">
              <w:t>socioeconomic</w:t>
            </w:r>
            <w:r w:rsidRPr="00682983">
              <w:t xml:space="preserve"> status, or employment and/or educational histories.</w:t>
            </w:r>
          </w:p>
          <w:p w14:paraId="54E111C2" w14:textId="77777777" w:rsidR="00BF7F89" w:rsidRDefault="00330BE9" w:rsidP="0055023C">
            <w:pPr>
              <w:pStyle w:val="ListParagraph"/>
              <w:numPr>
                <w:ilvl w:val="0"/>
                <w:numId w:val="34"/>
              </w:numPr>
              <w:spacing w:after="40"/>
              <w:ind w:left="714" w:hanging="357"/>
              <w:contextualSpacing w:val="0"/>
            </w:pPr>
            <w:r w:rsidRPr="00682983">
              <w:t>Options are narrower for young people in rural/regional locations, because of the financial implications of moving away, and those in peri-urban areas may also experience transport disadvantage. Where the desired destination is not easily accessible, extra effort and expense is incurred by the young people and/or their families. Young people and those who work with them may feel aggrieved about this.</w:t>
            </w:r>
          </w:p>
          <w:p w14:paraId="5A5FDD36" w14:textId="7A817E8E" w:rsidR="00330BE9" w:rsidRPr="00682983" w:rsidRDefault="00330BE9" w:rsidP="0055023C">
            <w:pPr>
              <w:pStyle w:val="ListParagraph"/>
              <w:numPr>
                <w:ilvl w:val="0"/>
                <w:numId w:val="34"/>
              </w:numPr>
              <w:spacing w:after="40"/>
              <w:ind w:left="714" w:hanging="357"/>
              <w:contextualSpacing w:val="0"/>
            </w:pPr>
            <w:r w:rsidRPr="00682983">
              <w:lastRenderedPageBreak/>
              <w:t xml:space="preserve">Young people, especially males, displaying an interest in a career in trades are steered into VCAL and sometimes to early school-leaving, sometimes in apprenticeships; they may experience regret not to have completed school. </w:t>
            </w:r>
          </w:p>
          <w:p w14:paraId="2AB63507" w14:textId="77777777" w:rsidR="00330BE9" w:rsidRPr="00682983" w:rsidRDefault="00330BE9" w:rsidP="00330BE9">
            <w:pPr>
              <w:pStyle w:val="ListParagraph"/>
              <w:numPr>
                <w:ilvl w:val="0"/>
                <w:numId w:val="34"/>
              </w:numPr>
              <w:spacing w:after="40"/>
              <w:ind w:left="714" w:hanging="357"/>
              <w:contextualSpacing w:val="0"/>
            </w:pPr>
            <w:r w:rsidRPr="00682983">
              <w:t>Gap years are a common response to financial issues and for a decision-making ‘buffer’. Gap years may be intended, a back-up plan, or unintended. Considerable change may occur between the first year out and second-year out.</w:t>
            </w:r>
          </w:p>
          <w:p w14:paraId="2B1D0597" w14:textId="77777777" w:rsidR="00330BE9" w:rsidRPr="00682983" w:rsidRDefault="00330BE9" w:rsidP="00330BE9">
            <w:pPr>
              <w:pStyle w:val="ListParagraph"/>
              <w:numPr>
                <w:ilvl w:val="0"/>
                <w:numId w:val="34"/>
              </w:numPr>
              <w:spacing w:after="40"/>
              <w:ind w:left="714" w:hanging="357"/>
              <w:contextualSpacing w:val="0"/>
            </w:pPr>
            <w:r w:rsidRPr="00682983">
              <w:t xml:space="preserve">The most useful careers advice to young people is personal time with a trusted adviser at school. They wish to retain this source of advice after leaving school, particularly at the time at which the ATAR results are issued, and during the first-year out when changes in circumstances often occur.  </w:t>
            </w:r>
          </w:p>
          <w:p w14:paraId="136C469A" w14:textId="77777777" w:rsidR="00330BE9" w:rsidRPr="00682983" w:rsidRDefault="00330BE9" w:rsidP="00330BE9">
            <w:pPr>
              <w:pStyle w:val="ListParagraph"/>
              <w:numPr>
                <w:ilvl w:val="0"/>
                <w:numId w:val="34"/>
              </w:numPr>
              <w:spacing w:after="40"/>
              <w:ind w:left="714" w:hanging="357"/>
              <w:contextualSpacing w:val="0"/>
            </w:pPr>
            <w:r w:rsidRPr="00682983">
              <w:t>Part-time jobs while studying are fundamental parts of young people’s lives, and often their school-days jobs continue well into their post-school careers. Little value is ascribed to these jobs by key players.</w:t>
            </w:r>
          </w:p>
          <w:p w14:paraId="3BDD4621" w14:textId="700BCFCE" w:rsidR="00330BE9" w:rsidRPr="00682983" w:rsidRDefault="00330BE9" w:rsidP="00330BE9">
            <w:pPr>
              <w:pStyle w:val="ListParagraph"/>
              <w:numPr>
                <w:ilvl w:val="0"/>
                <w:numId w:val="34"/>
              </w:numPr>
              <w:spacing w:after="40"/>
              <w:ind w:left="714" w:hanging="357"/>
              <w:contextualSpacing w:val="0"/>
            </w:pPr>
            <w:r w:rsidRPr="00682983">
              <w:t xml:space="preserve">While a great deal of information is available to young people, in-school or from external sources, they do not find the way in which it is presented particularly useful. External services are piecemeal, not always trusted, and not ‘joined up.’ First-hand information about study </w:t>
            </w:r>
            <w:r w:rsidR="00BF7F89">
              <w:t>and</w:t>
            </w:r>
            <w:r w:rsidRPr="00682983">
              <w:t xml:space="preserve"> jobs </w:t>
            </w:r>
            <w:r w:rsidR="00BF7F89">
              <w:t>may be</w:t>
            </w:r>
            <w:r w:rsidRPr="00682983">
              <w:t xml:space="preserve"> limited by distance or by lack of work experience opportunities.</w:t>
            </w:r>
          </w:p>
          <w:p w14:paraId="6F0FC52B" w14:textId="446503F1" w:rsidR="00F97548" w:rsidRPr="00682983" w:rsidRDefault="00330BE9" w:rsidP="00BF7F89">
            <w:pPr>
              <w:pStyle w:val="ListParagraph"/>
              <w:numPr>
                <w:ilvl w:val="0"/>
                <w:numId w:val="34"/>
              </w:numPr>
              <w:spacing w:after="100"/>
              <w:ind w:left="714" w:hanging="357"/>
              <w:contextualSpacing w:val="0"/>
              <w:rPr>
                <w:rFonts w:cstheme="minorHAnsi"/>
                <w:i/>
                <w:color w:val="222222"/>
                <w:lang w:val="en"/>
              </w:rPr>
            </w:pPr>
            <w:r w:rsidRPr="00682983">
              <w:t xml:space="preserve">Young people display considerable resourcefulness, resilience and responsibility in their planning and in their activities after leaving school. </w:t>
            </w:r>
          </w:p>
        </w:tc>
      </w:tr>
    </w:tbl>
    <w:p w14:paraId="4AF6050E" w14:textId="003E913C" w:rsidR="00A43CD5" w:rsidRPr="00682983" w:rsidRDefault="00A43CD5" w:rsidP="00517B2D">
      <w:pPr>
        <w:spacing w:before="120" w:after="80"/>
        <w:rPr>
          <w:b/>
        </w:rPr>
      </w:pPr>
      <w:r w:rsidRPr="00682983">
        <w:rPr>
          <w:b/>
        </w:rPr>
        <w:lastRenderedPageBreak/>
        <w:t xml:space="preserve">What could change to provide better post-school outcomes for more young people? </w:t>
      </w:r>
    </w:p>
    <w:p w14:paraId="5B2CC220" w14:textId="3482810F" w:rsidR="00A43CD5" w:rsidRPr="00682983" w:rsidRDefault="00A43CD5" w:rsidP="00A43CD5">
      <w:pPr>
        <w:spacing w:after="40"/>
      </w:pPr>
      <w:r w:rsidRPr="00682983">
        <w:t xml:space="preserve">Suggestions </w:t>
      </w:r>
      <w:r w:rsidR="00F97548" w:rsidRPr="00682983">
        <w:t>derived from the interview</w:t>
      </w:r>
      <w:r w:rsidRPr="00682983">
        <w:t>s may be summarised as:</w:t>
      </w:r>
    </w:p>
    <w:p w14:paraId="5F202FDF" w14:textId="1D8B69FC" w:rsidR="00A43CD5" w:rsidRPr="00682983" w:rsidRDefault="00A43CD5" w:rsidP="00A43CD5">
      <w:pPr>
        <w:pStyle w:val="ListParagraph"/>
        <w:numPr>
          <w:ilvl w:val="0"/>
          <w:numId w:val="27"/>
        </w:numPr>
        <w:spacing w:line="256" w:lineRule="auto"/>
      </w:pPr>
      <w:r w:rsidRPr="00682983">
        <w:t>Better and more ‘joined-up’ careers advice; better and more</w:t>
      </w:r>
      <w:r w:rsidR="00683471" w:rsidRPr="00682983">
        <w:t xml:space="preserve"> ‘joined-up’ support services</w:t>
      </w:r>
      <w:r w:rsidRPr="00682983">
        <w:t>;</w:t>
      </w:r>
    </w:p>
    <w:p w14:paraId="70D96D94" w14:textId="77777777" w:rsidR="00A43CD5" w:rsidRPr="00682983" w:rsidRDefault="00A43CD5" w:rsidP="00A43CD5">
      <w:pPr>
        <w:pStyle w:val="ListParagraph"/>
        <w:numPr>
          <w:ilvl w:val="0"/>
          <w:numId w:val="27"/>
        </w:numPr>
        <w:spacing w:line="256" w:lineRule="auto"/>
      </w:pPr>
      <w:r w:rsidRPr="00682983">
        <w:t>More resourcing of careers advice in schools, particularly access to individualised advice;</w:t>
      </w:r>
    </w:p>
    <w:p w14:paraId="604DB25C" w14:textId="77777777" w:rsidR="00A43CD5" w:rsidRPr="00682983" w:rsidRDefault="00A43CD5" w:rsidP="00A43CD5">
      <w:pPr>
        <w:pStyle w:val="ListParagraph"/>
        <w:numPr>
          <w:ilvl w:val="0"/>
          <w:numId w:val="27"/>
        </w:numPr>
        <w:spacing w:line="256" w:lineRule="auto"/>
      </w:pPr>
      <w:r w:rsidRPr="00682983">
        <w:t>More liaison between schools and employers, including but not confined to, more work experience opportunities;</w:t>
      </w:r>
    </w:p>
    <w:p w14:paraId="1FC06D55" w14:textId="77777777" w:rsidR="00A43CD5" w:rsidRPr="00682983" w:rsidRDefault="00A43CD5" w:rsidP="00A43CD5">
      <w:pPr>
        <w:pStyle w:val="ListParagraph"/>
        <w:numPr>
          <w:ilvl w:val="0"/>
          <w:numId w:val="27"/>
        </w:numPr>
        <w:spacing w:line="256" w:lineRule="auto"/>
      </w:pPr>
      <w:r w:rsidRPr="00682983">
        <w:t>Specifically, more appreciation of the role of the employers who give jobs to young people while studying, and validation of the work that young people do in these jobs;</w:t>
      </w:r>
    </w:p>
    <w:p w14:paraId="342F1DA9" w14:textId="77777777" w:rsidR="00A43CD5" w:rsidRPr="00682983" w:rsidRDefault="00A43CD5" w:rsidP="00A43CD5">
      <w:pPr>
        <w:pStyle w:val="ListParagraph"/>
        <w:numPr>
          <w:ilvl w:val="0"/>
          <w:numId w:val="27"/>
        </w:numPr>
        <w:spacing w:line="256" w:lineRule="auto"/>
      </w:pPr>
      <w:r w:rsidRPr="00682983">
        <w:t xml:space="preserve">More focus on locational disadvantage, with practical measures to overcome it, rather than having young people put all the work in to combat the associated challenges;  </w:t>
      </w:r>
    </w:p>
    <w:p w14:paraId="0E91B6B0" w14:textId="3654910D" w:rsidR="00A43CD5" w:rsidRPr="00682983" w:rsidRDefault="00A43CD5" w:rsidP="00A43CD5">
      <w:pPr>
        <w:pStyle w:val="ListParagraph"/>
        <w:numPr>
          <w:ilvl w:val="0"/>
          <w:numId w:val="27"/>
        </w:numPr>
        <w:spacing w:line="256" w:lineRule="auto"/>
      </w:pPr>
      <w:r w:rsidRPr="00682983">
        <w:t>Harness local individuals and institutions who are able to assist in overcoming challenges in particular locations;</w:t>
      </w:r>
    </w:p>
    <w:p w14:paraId="071A2CB2" w14:textId="67C5169B" w:rsidR="00A43CD5" w:rsidRPr="00682983" w:rsidRDefault="00A43CD5" w:rsidP="00A43CD5">
      <w:pPr>
        <w:pStyle w:val="ListParagraph"/>
        <w:numPr>
          <w:ilvl w:val="0"/>
          <w:numId w:val="27"/>
        </w:numPr>
        <w:spacing w:line="256" w:lineRule="auto"/>
      </w:pPr>
      <w:r w:rsidRPr="00682983">
        <w:t>Educat</w:t>
      </w:r>
      <w:r w:rsidR="00BF7F89">
        <w:t>e</w:t>
      </w:r>
      <w:r w:rsidRPr="00682983">
        <w:t xml:space="preserve"> and support parents and grandparents from a wide range of backgrounds to assist young people;</w:t>
      </w:r>
    </w:p>
    <w:p w14:paraId="12316955" w14:textId="4CC3469E" w:rsidR="00A43CD5" w:rsidRPr="00682983" w:rsidRDefault="00A43CD5" w:rsidP="00A43CD5">
      <w:pPr>
        <w:pStyle w:val="ListParagraph"/>
        <w:numPr>
          <w:ilvl w:val="0"/>
          <w:numId w:val="27"/>
        </w:numPr>
        <w:spacing w:line="256" w:lineRule="auto"/>
      </w:pPr>
      <w:r w:rsidRPr="00682983">
        <w:t>Tak</w:t>
      </w:r>
      <w:r w:rsidR="00BF7F89">
        <w:t xml:space="preserve">e the stress out of Year 12; </w:t>
      </w:r>
      <w:r w:rsidRPr="00682983">
        <w:t xml:space="preserve"> young people </w:t>
      </w:r>
      <w:r w:rsidR="00BF7F89">
        <w:t>need</w:t>
      </w:r>
      <w:r w:rsidRPr="00682983">
        <w:t xml:space="preserve"> a Plan B and even C;</w:t>
      </w:r>
    </w:p>
    <w:p w14:paraId="0CA28BFE" w14:textId="03198905" w:rsidR="00A43CD5" w:rsidRPr="00682983" w:rsidRDefault="00BF7F89" w:rsidP="00A43CD5">
      <w:pPr>
        <w:pStyle w:val="ListParagraph"/>
        <w:numPr>
          <w:ilvl w:val="0"/>
          <w:numId w:val="27"/>
        </w:numPr>
        <w:spacing w:line="256" w:lineRule="auto"/>
      </w:pPr>
      <w:r>
        <w:t>Provide</w:t>
      </w:r>
      <w:r w:rsidR="00A43CD5" w:rsidRPr="00682983">
        <w:t xml:space="preserve"> careers advice after school-leaving</w:t>
      </w:r>
      <w:r w:rsidR="009969F4">
        <w:t>, preferably from school careers staff</w:t>
      </w:r>
      <w:r w:rsidR="00A43CD5" w:rsidRPr="00682983">
        <w:t>;</w:t>
      </w:r>
    </w:p>
    <w:p w14:paraId="52E145E5" w14:textId="089CA5E1" w:rsidR="00A43CD5" w:rsidRPr="00682983" w:rsidRDefault="00BF7F89" w:rsidP="00A43CD5">
      <w:pPr>
        <w:pStyle w:val="ListParagraph"/>
        <w:numPr>
          <w:ilvl w:val="0"/>
          <w:numId w:val="27"/>
        </w:numPr>
        <w:spacing w:line="256" w:lineRule="auto"/>
      </w:pPr>
      <w:r>
        <w:t xml:space="preserve">Avoid </w:t>
      </w:r>
      <w:r w:rsidR="00A43CD5" w:rsidRPr="00682983">
        <w:t>channeling young people into options that close off future pathways;</w:t>
      </w:r>
    </w:p>
    <w:p w14:paraId="27434BFE" w14:textId="103B2CC1" w:rsidR="00A43CD5" w:rsidRDefault="00A43CD5" w:rsidP="00A43CD5">
      <w:pPr>
        <w:pStyle w:val="ListParagraph"/>
        <w:numPr>
          <w:ilvl w:val="0"/>
          <w:numId w:val="27"/>
        </w:numPr>
        <w:spacing w:line="256" w:lineRule="auto"/>
      </w:pPr>
      <w:r w:rsidRPr="00682983">
        <w:t>Recogni</w:t>
      </w:r>
      <w:r w:rsidR="00BF7F89">
        <w:t>se</w:t>
      </w:r>
      <w:r w:rsidRPr="00682983">
        <w:t xml:space="preserve"> and normalis</w:t>
      </w:r>
      <w:r w:rsidR="00BF7F89">
        <w:t>e</w:t>
      </w:r>
      <w:r w:rsidRPr="00682983">
        <w:t xml:space="preserve"> all of the </w:t>
      </w:r>
      <w:r w:rsidR="00ED02AB">
        <w:t>post-school pathways that occur;</w:t>
      </w:r>
      <w:bookmarkStart w:id="1" w:name="_GoBack"/>
      <w:bookmarkEnd w:id="1"/>
    </w:p>
    <w:p w14:paraId="202606A2" w14:textId="08DF822F" w:rsidR="009969F4" w:rsidRDefault="00BF7F89" w:rsidP="009969F4">
      <w:pPr>
        <w:pStyle w:val="ListParagraph"/>
        <w:numPr>
          <w:ilvl w:val="0"/>
          <w:numId w:val="37"/>
        </w:numPr>
      </w:pPr>
      <w:r>
        <w:t>Exercise</w:t>
      </w:r>
      <w:r w:rsidR="009969F4">
        <w:t xml:space="preserve"> caution in out-sourcing employment services and apprenticeship intermediary services to for-profit companies, or at least </w:t>
      </w:r>
      <w:r>
        <w:t>institute</w:t>
      </w:r>
      <w:r w:rsidR="009969F4">
        <w:t xml:space="preserve"> additional monitoring activities.</w:t>
      </w:r>
    </w:p>
    <w:p w14:paraId="628031FD" w14:textId="737CEB11" w:rsidR="00D31109" w:rsidRPr="0085635A" w:rsidRDefault="003D4868" w:rsidP="00682983">
      <w:r w:rsidRPr="00682983">
        <w:rPr>
          <w:rFonts w:cstheme="minorHAnsi"/>
          <w:color w:val="222222"/>
          <w:lang w:val="en"/>
        </w:rPr>
        <w:t>The report con</w:t>
      </w:r>
      <w:r w:rsidR="00A43CD5" w:rsidRPr="00682983">
        <w:rPr>
          <w:rFonts w:cstheme="minorHAnsi"/>
          <w:color w:val="222222"/>
          <w:lang w:val="en"/>
        </w:rPr>
        <w:t>c</w:t>
      </w:r>
      <w:r w:rsidRPr="00682983">
        <w:rPr>
          <w:rFonts w:cstheme="minorHAnsi"/>
          <w:color w:val="222222"/>
          <w:lang w:val="en"/>
        </w:rPr>
        <w:t>l</w:t>
      </w:r>
      <w:r w:rsidR="00A43CD5" w:rsidRPr="00682983">
        <w:rPr>
          <w:rFonts w:cstheme="minorHAnsi"/>
          <w:color w:val="222222"/>
          <w:lang w:val="en"/>
        </w:rPr>
        <w:t>udes with a</w:t>
      </w:r>
      <w:r w:rsidRPr="00682983">
        <w:rPr>
          <w:rFonts w:cstheme="minorHAnsi"/>
          <w:color w:val="222222"/>
          <w:lang w:val="en"/>
        </w:rPr>
        <w:t xml:space="preserve"> </w:t>
      </w:r>
      <w:r w:rsidR="00A43CD5" w:rsidRPr="00682983">
        <w:rPr>
          <w:rFonts w:cstheme="minorHAnsi"/>
          <w:color w:val="222222"/>
          <w:lang w:val="en"/>
        </w:rPr>
        <w:t>series of recom</w:t>
      </w:r>
      <w:r w:rsidRPr="00682983">
        <w:rPr>
          <w:rFonts w:cstheme="minorHAnsi"/>
          <w:color w:val="222222"/>
          <w:lang w:val="en"/>
        </w:rPr>
        <w:t>me</w:t>
      </w:r>
      <w:r w:rsidR="00A43CD5" w:rsidRPr="00682983">
        <w:rPr>
          <w:rFonts w:cstheme="minorHAnsi"/>
          <w:color w:val="222222"/>
          <w:lang w:val="en"/>
        </w:rPr>
        <w:t>n</w:t>
      </w:r>
      <w:r w:rsidRPr="00682983">
        <w:rPr>
          <w:rFonts w:cstheme="minorHAnsi"/>
          <w:color w:val="222222"/>
          <w:lang w:val="en"/>
        </w:rPr>
        <w:t>datio</w:t>
      </w:r>
      <w:r w:rsidR="00A43CD5" w:rsidRPr="00682983">
        <w:rPr>
          <w:rFonts w:cstheme="minorHAnsi"/>
          <w:color w:val="222222"/>
          <w:lang w:val="en"/>
        </w:rPr>
        <w:t>ns</w:t>
      </w:r>
      <w:r w:rsidRPr="00682983">
        <w:rPr>
          <w:rFonts w:cstheme="minorHAnsi"/>
          <w:color w:val="222222"/>
          <w:lang w:val="en"/>
        </w:rPr>
        <w:t>, derived from the key findings and the participant suggestions, for the following sta</w:t>
      </w:r>
      <w:r w:rsidR="00A43CD5" w:rsidRPr="00682983">
        <w:rPr>
          <w:rFonts w:cstheme="minorHAnsi"/>
          <w:color w:val="222222"/>
          <w:lang w:val="en"/>
        </w:rPr>
        <w:t>k</w:t>
      </w:r>
      <w:r w:rsidRPr="00682983">
        <w:rPr>
          <w:rFonts w:cstheme="minorHAnsi"/>
          <w:color w:val="222222"/>
          <w:lang w:val="en"/>
        </w:rPr>
        <w:t>e</w:t>
      </w:r>
      <w:r w:rsidR="00A43CD5" w:rsidRPr="00682983">
        <w:rPr>
          <w:rFonts w:cstheme="minorHAnsi"/>
          <w:color w:val="222222"/>
          <w:lang w:val="en"/>
        </w:rPr>
        <w:t>holder groups:</w:t>
      </w:r>
      <w:r w:rsidRPr="00682983">
        <w:rPr>
          <w:rFonts w:cstheme="minorHAnsi"/>
          <w:color w:val="222222"/>
          <w:lang w:val="en"/>
        </w:rPr>
        <w:t xml:space="preserve"> </w:t>
      </w:r>
      <w:r w:rsidRPr="00682983">
        <w:t xml:space="preserve">schools, community organisations including employers, tertiary education providers, young people and their families, and governments.  </w:t>
      </w:r>
      <w:r w:rsidR="00517B2D" w:rsidRPr="00682983">
        <w:t>It should be noted that much of the research took place before the new approach to careers education in Victorian schools began to be implemented, which is addressing some of the issues that the project found.</w:t>
      </w:r>
      <w:r w:rsidR="00517B2D">
        <w:t xml:space="preserve">  </w:t>
      </w:r>
    </w:p>
    <w:sectPr w:rsidR="00D31109" w:rsidRPr="0085635A" w:rsidSect="00682983">
      <w:footerReference w:type="default" r:id="rId2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61477" w14:textId="77777777" w:rsidR="00EB50E9" w:rsidRDefault="00EB50E9" w:rsidP="00986AED">
      <w:pPr>
        <w:spacing w:after="0" w:line="240" w:lineRule="auto"/>
      </w:pPr>
      <w:r>
        <w:separator/>
      </w:r>
    </w:p>
  </w:endnote>
  <w:endnote w:type="continuationSeparator" w:id="0">
    <w:p w14:paraId="5DF9F9F4" w14:textId="77777777" w:rsidR="00EB50E9" w:rsidRDefault="00EB50E9" w:rsidP="00986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0AEFE" w14:textId="77777777" w:rsidR="00BF4E2F" w:rsidRDefault="00BF4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688556"/>
      <w:docPartObj>
        <w:docPartGallery w:val="Page Numbers (Bottom of Page)"/>
        <w:docPartUnique/>
      </w:docPartObj>
    </w:sdtPr>
    <w:sdtEndPr>
      <w:rPr>
        <w:noProof/>
      </w:rPr>
    </w:sdtEndPr>
    <w:sdtContent>
      <w:p w14:paraId="12C6B494" w14:textId="39BB03BE" w:rsidR="00EB50E9" w:rsidRDefault="00EB50E9">
        <w:pPr>
          <w:pStyle w:val="Footer"/>
          <w:jc w:val="right"/>
        </w:pPr>
        <w:r>
          <w:fldChar w:fldCharType="begin"/>
        </w:r>
        <w:r>
          <w:instrText xml:space="preserve"> PAGE   \* MERGEFORMAT </w:instrText>
        </w:r>
        <w:r>
          <w:fldChar w:fldCharType="separate"/>
        </w:r>
        <w:r w:rsidR="00ED02AB">
          <w:rPr>
            <w:noProof/>
          </w:rPr>
          <w:t>0</w:t>
        </w:r>
        <w:r>
          <w:rPr>
            <w:noProof/>
          </w:rPr>
          <w:fldChar w:fldCharType="end"/>
        </w:r>
      </w:p>
    </w:sdtContent>
  </w:sdt>
  <w:p w14:paraId="3221FDC4" w14:textId="77777777" w:rsidR="00EB50E9" w:rsidRDefault="00EB50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DCD0C" w14:textId="77777777" w:rsidR="00BF4E2F" w:rsidRDefault="00BF4E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128143"/>
      <w:docPartObj>
        <w:docPartGallery w:val="Page Numbers (Bottom of Page)"/>
        <w:docPartUnique/>
      </w:docPartObj>
    </w:sdtPr>
    <w:sdtEndPr>
      <w:rPr>
        <w:noProof/>
      </w:rPr>
    </w:sdtEndPr>
    <w:sdtContent>
      <w:p w14:paraId="6749B34C" w14:textId="0FDEE0EF" w:rsidR="00EB50E9" w:rsidRDefault="00EB50E9">
        <w:pPr>
          <w:pStyle w:val="Footer"/>
          <w:jc w:val="right"/>
        </w:pPr>
        <w:r>
          <w:fldChar w:fldCharType="begin"/>
        </w:r>
        <w:r>
          <w:instrText xml:space="preserve"> PAGE   \* MERGEFORMAT </w:instrText>
        </w:r>
        <w:r>
          <w:fldChar w:fldCharType="separate"/>
        </w:r>
        <w:r w:rsidR="00ED02AB">
          <w:rPr>
            <w:noProof/>
          </w:rPr>
          <w:t>3</w:t>
        </w:r>
        <w:r>
          <w:rPr>
            <w:noProof/>
          </w:rPr>
          <w:fldChar w:fldCharType="end"/>
        </w:r>
      </w:p>
    </w:sdtContent>
  </w:sdt>
  <w:p w14:paraId="11706A37" w14:textId="77777777" w:rsidR="00EB50E9" w:rsidRDefault="00EB5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76F9A" w14:textId="77777777" w:rsidR="00EB50E9" w:rsidRDefault="00EB50E9" w:rsidP="00986AED">
      <w:pPr>
        <w:spacing w:after="0" w:line="240" w:lineRule="auto"/>
      </w:pPr>
      <w:r>
        <w:separator/>
      </w:r>
    </w:p>
  </w:footnote>
  <w:footnote w:type="continuationSeparator" w:id="0">
    <w:p w14:paraId="28E0FCDA" w14:textId="77777777" w:rsidR="00EB50E9" w:rsidRDefault="00EB50E9" w:rsidP="00986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FF1B7" w14:textId="77777777" w:rsidR="00BF4E2F" w:rsidRDefault="00BF4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A0382" w14:textId="41CD8B23" w:rsidR="00EB50E9" w:rsidRDefault="00EB50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318F4" w14:textId="77777777" w:rsidR="00BF4E2F" w:rsidRDefault="00BF4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157"/>
    <w:multiLevelType w:val="hybridMultilevel"/>
    <w:tmpl w:val="154A2B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EC7399"/>
    <w:multiLevelType w:val="hybridMultilevel"/>
    <w:tmpl w:val="1FFEB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B01633"/>
    <w:multiLevelType w:val="hybridMultilevel"/>
    <w:tmpl w:val="4BB23A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3C0A85"/>
    <w:multiLevelType w:val="hybridMultilevel"/>
    <w:tmpl w:val="7EA62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D9736F"/>
    <w:multiLevelType w:val="hybridMultilevel"/>
    <w:tmpl w:val="009A63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9C55A2C"/>
    <w:multiLevelType w:val="hybridMultilevel"/>
    <w:tmpl w:val="01765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AA26612"/>
    <w:multiLevelType w:val="hybridMultilevel"/>
    <w:tmpl w:val="359E5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044A42"/>
    <w:multiLevelType w:val="hybridMultilevel"/>
    <w:tmpl w:val="2E2E03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1E05CC"/>
    <w:multiLevelType w:val="hybridMultilevel"/>
    <w:tmpl w:val="D9BC8338"/>
    <w:lvl w:ilvl="0" w:tplc="6DFE032A">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D65401"/>
    <w:multiLevelType w:val="hybridMultilevel"/>
    <w:tmpl w:val="C8C018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9833D8F"/>
    <w:multiLevelType w:val="hybridMultilevel"/>
    <w:tmpl w:val="9D6A6E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A1C3D39"/>
    <w:multiLevelType w:val="hybridMultilevel"/>
    <w:tmpl w:val="03BCA8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3E35A97"/>
    <w:multiLevelType w:val="hybridMultilevel"/>
    <w:tmpl w:val="2D8A6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987D44"/>
    <w:multiLevelType w:val="hybridMultilevel"/>
    <w:tmpl w:val="D62036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EB85956"/>
    <w:multiLevelType w:val="hybridMultilevel"/>
    <w:tmpl w:val="E3AA9F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484490E"/>
    <w:multiLevelType w:val="hybridMultilevel"/>
    <w:tmpl w:val="E86039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5B04433"/>
    <w:multiLevelType w:val="hybridMultilevel"/>
    <w:tmpl w:val="2B92E6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619021E"/>
    <w:multiLevelType w:val="hybridMultilevel"/>
    <w:tmpl w:val="C73844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9341DF2"/>
    <w:multiLevelType w:val="hybridMultilevel"/>
    <w:tmpl w:val="0B1EFD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9E808F7"/>
    <w:multiLevelType w:val="hybridMultilevel"/>
    <w:tmpl w:val="5D90C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B619A1"/>
    <w:multiLevelType w:val="hybridMultilevel"/>
    <w:tmpl w:val="FA6210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4E153E4D"/>
    <w:multiLevelType w:val="hybridMultilevel"/>
    <w:tmpl w:val="930A70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1E45066"/>
    <w:multiLevelType w:val="hybridMultilevel"/>
    <w:tmpl w:val="5D12C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027BC0"/>
    <w:multiLevelType w:val="hybridMultilevel"/>
    <w:tmpl w:val="97B8D69A"/>
    <w:lvl w:ilvl="0" w:tplc="4510E93E">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59BB36FD"/>
    <w:multiLevelType w:val="hybridMultilevel"/>
    <w:tmpl w:val="8D78B4BE"/>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A146D6C"/>
    <w:multiLevelType w:val="hybridMultilevel"/>
    <w:tmpl w:val="128272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2785462"/>
    <w:multiLevelType w:val="hybridMultilevel"/>
    <w:tmpl w:val="E174BA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4710DED"/>
    <w:multiLevelType w:val="hybridMultilevel"/>
    <w:tmpl w:val="E04A23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5E55D0B"/>
    <w:multiLevelType w:val="hybridMultilevel"/>
    <w:tmpl w:val="5B2AF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DD2A77"/>
    <w:multiLevelType w:val="hybridMultilevel"/>
    <w:tmpl w:val="A00ED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91D3C7A"/>
    <w:multiLevelType w:val="hybridMultilevel"/>
    <w:tmpl w:val="87542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DD66B7"/>
    <w:multiLevelType w:val="hybridMultilevel"/>
    <w:tmpl w:val="7AA44D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E4C3A77"/>
    <w:multiLevelType w:val="hybridMultilevel"/>
    <w:tmpl w:val="3894EE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FF96EE8"/>
    <w:multiLevelType w:val="hybridMultilevel"/>
    <w:tmpl w:val="244CC4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6A4361D"/>
    <w:multiLevelType w:val="hybridMultilevel"/>
    <w:tmpl w:val="4CC8E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D33F42"/>
    <w:multiLevelType w:val="hybridMultilevel"/>
    <w:tmpl w:val="053642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6D806DB"/>
    <w:multiLevelType w:val="hybridMultilevel"/>
    <w:tmpl w:val="3E9E896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77387425"/>
    <w:multiLevelType w:val="hybridMultilevel"/>
    <w:tmpl w:val="EF9CF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4"/>
  </w:num>
  <w:num w:numId="4">
    <w:abstractNumId w:val="3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7"/>
  </w:num>
  <w:num w:numId="8">
    <w:abstractNumId w:val="31"/>
  </w:num>
  <w:num w:numId="9">
    <w:abstractNumId w:val="15"/>
  </w:num>
  <w:num w:numId="10">
    <w:abstractNumId w:val="32"/>
  </w:num>
  <w:num w:numId="11">
    <w:abstractNumId w:val="16"/>
  </w:num>
  <w:num w:numId="12">
    <w:abstractNumId w:val="21"/>
  </w:num>
  <w:num w:numId="13">
    <w:abstractNumId w:val="18"/>
  </w:num>
  <w:num w:numId="14">
    <w:abstractNumId w:val="5"/>
  </w:num>
  <w:num w:numId="15">
    <w:abstractNumId w:val="33"/>
  </w:num>
  <w:num w:numId="16">
    <w:abstractNumId w:val="29"/>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35"/>
  </w:num>
  <w:num w:numId="21">
    <w:abstractNumId w:val="0"/>
  </w:num>
  <w:num w:numId="22">
    <w:abstractNumId w:val="10"/>
  </w:num>
  <w:num w:numId="23">
    <w:abstractNumId w:val="26"/>
  </w:num>
  <w:num w:numId="24">
    <w:abstractNumId w:val="9"/>
  </w:num>
  <w:num w:numId="25">
    <w:abstractNumId w:val="14"/>
  </w:num>
  <w:num w:numId="26">
    <w:abstractNumId w:val="13"/>
  </w:num>
  <w:num w:numId="27">
    <w:abstractNumId w:val="17"/>
  </w:num>
  <w:num w:numId="28">
    <w:abstractNumId w:val="24"/>
    <w:lvlOverride w:ilvl="0">
      <w:startOverride w:val="1"/>
    </w:lvlOverride>
    <w:lvlOverride w:ilvl="1"/>
    <w:lvlOverride w:ilvl="2"/>
    <w:lvlOverride w:ilvl="3"/>
    <w:lvlOverride w:ilvl="4"/>
    <w:lvlOverride w:ilvl="5"/>
    <w:lvlOverride w:ilvl="6"/>
    <w:lvlOverride w:ilvl="7"/>
    <w:lvlOverride w:ilvl="8"/>
  </w:num>
  <w:num w:numId="29">
    <w:abstractNumId w:val="34"/>
  </w:num>
  <w:num w:numId="30">
    <w:abstractNumId w:val="4"/>
  </w:num>
  <w:num w:numId="31">
    <w:abstractNumId w:val="27"/>
  </w:num>
  <w:num w:numId="32">
    <w:abstractNumId w:val="31"/>
  </w:num>
  <w:num w:numId="33">
    <w:abstractNumId w:val="15"/>
  </w:num>
  <w:num w:numId="34">
    <w:abstractNumId w:val="8"/>
  </w:num>
  <w:num w:numId="35">
    <w:abstractNumId w:val="19"/>
  </w:num>
  <w:num w:numId="36">
    <w:abstractNumId w:val="22"/>
  </w:num>
  <w:num w:numId="37">
    <w:abstractNumId w:val="3"/>
  </w:num>
  <w:num w:numId="38">
    <w:abstractNumId w:val="37"/>
  </w:num>
  <w:num w:numId="39">
    <w:abstractNumId w:val="6"/>
  </w:num>
  <w:num w:numId="40">
    <w:abstractNumId w:val="12"/>
  </w:num>
  <w:num w:numId="41">
    <w:abstractNumId w:val="7"/>
  </w:num>
  <w:num w:numId="42">
    <w:abstractNumId w:val="30"/>
  </w:num>
  <w:num w:numId="43">
    <w:abstractNumId w:val="28"/>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7F1"/>
    <w:rsid w:val="000158F6"/>
    <w:rsid w:val="00025727"/>
    <w:rsid w:val="00044A1E"/>
    <w:rsid w:val="000463F7"/>
    <w:rsid w:val="000639B5"/>
    <w:rsid w:val="000A6FB6"/>
    <w:rsid w:val="000B3B6A"/>
    <w:rsid w:val="000E531C"/>
    <w:rsid w:val="000E7213"/>
    <w:rsid w:val="001020B1"/>
    <w:rsid w:val="00124069"/>
    <w:rsid w:val="00180C5E"/>
    <w:rsid w:val="001B297B"/>
    <w:rsid w:val="001E3E3B"/>
    <w:rsid w:val="00222334"/>
    <w:rsid w:val="0025213E"/>
    <w:rsid w:val="00277C29"/>
    <w:rsid w:val="002C228C"/>
    <w:rsid w:val="002D4ACB"/>
    <w:rsid w:val="0031725A"/>
    <w:rsid w:val="00330BE9"/>
    <w:rsid w:val="0033272A"/>
    <w:rsid w:val="003351EB"/>
    <w:rsid w:val="003461FD"/>
    <w:rsid w:val="00352E13"/>
    <w:rsid w:val="00372291"/>
    <w:rsid w:val="003A3CB8"/>
    <w:rsid w:val="003B0914"/>
    <w:rsid w:val="003B7CB6"/>
    <w:rsid w:val="003C251B"/>
    <w:rsid w:val="003C42EE"/>
    <w:rsid w:val="003D4868"/>
    <w:rsid w:val="003F120E"/>
    <w:rsid w:val="00426B14"/>
    <w:rsid w:val="00427542"/>
    <w:rsid w:val="00434511"/>
    <w:rsid w:val="00493ED8"/>
    <w:rsid w:val="00496170"/>
    <w:rsid w:val="004A0D92"/>
    <w:rsid w:val="004A41EF"/>
    <w:rsid w:val="00517B2D"/>
    <w:rsid w:val="00530B5E"/>
    <w:rsid w:val="00531FBD"/>
    <w:rsid w:val="005608E3"/>
    <w:rsid w:val="0056368F"/>
    <w:rsid w:val="00566D8D"/>
    <w:rsid w:val="005948B4"/>
    <w:rsid w:val="00594B5D"/>
    <w:rsid w:val="005F3AD9"/>
    <w:rsid w:val="00612A1C"/>
    <w:rsid w:val="00656059"/>
    <w:rsid w:val="0068079B"/>
    <w:rsid w:val="00682983"/>
    <w:rsid w:val="00683471"/>
    <w:rsid w:val="00691392"/>
    <w:rsid w:val="006B06E8"/>
    <w:rsid w:val="006C2EB2"/>
    <w:rsid w:val="006E2FEE"/>
    <w:rsid w:val="006F51FF"/>
    <w:rsid w:val="007276D7"/>
    <w:rsid w:val="00740510"/>
    <w:rsid w:val="007509B9"/>
    <w:rsid w:val="007571D9"/>
    <w:rsid w:val="007A7E1F"/>
    <w:rsid w:val="007B069D"/>
    <w:rsid w:val="007B6540"/>
    <w:rsid w:val="007C4AD1"/>
    <w:rsid w:val="008030EF"/>
    <w:rsid w:val="00810929"/>
    <w:rsid w:val="00827F34"/>
    <w:rsid w:val="00846902"/>
    <w:rsid w:val="008543D6"/>
    <w:rsid w:val="0085635A"/>
    <w:rsid w:val="00862F88"/>
    <w:rsid w:val="00885C6C"/>
    <w:rsid w:val="008932BF"/>
    <w:rsid w:val="00897A3E"/>
    <w:rsid w:val="008B1EF8"/>
    <w:rsid w:val="008B3D7B"/>
    <w:rsid w:val="009159D1"/>
    <w:rsid w:val="00960D0C"/>
    <w:rsid w:val="009769DF"/>
    <w:rsid w:val="00986AED"/>
    <w:rsid w:val="009969F4"/>
    <w:rsid w:val="009A5434"/>
    <w:rsid w:val="009B727A"/>
    <w:rsid w:val="009C0218"/>
    <w:rsid w:val="00A01230"/>
    <w:rsid w:val="00A4143C"/>
    <w:rsid w:val="00A43CD5"/>
    <w:rsid w:val="00A637A6"/>
    <w:rsid w:val="00A92153"/>
    <w:rsid w:val="00A95505"/>
    <w:rsid w:val="00AC5566"/>
    <w:rsid w:val="00AE1047"/>
    <w:rsid w:val="00AE20FB"/>
    <w:rsid w:val="00AE35EF"/>
    <w:rsid w:val="00B12D45"/>
    <w:rsid w:val="00B22586"/>
    <w:rsid w:val="00B25E93"/>
    <w:rsid w:val="00B37571"/>
    <w:rsid w:val="00B46DCD"/>
    <w:rsid w:val="00B72F72"/>
    <w:rsid w:val="00B808D0"/>
    <w:rsid w:val="00B93903"/>
    <w:rsid w:val="00BB5A88"/>
    <w:rsid w:val="00BC4B92"/>
    <w:rsid w:val="00BF4E2F"/>
    <w:rsid w:val="00BF7F89"/>
    <w:rsid w:val="00C05C9D"/>
    <w:rsid w:val="00C24D89"/>
    <w:rsid w:val="00C328A9"/>
    <w:rsid w:val="00C35AFF"/>
    <w:rsid w:val="00C5080B"/>
    <w:rsid w:val="00C70CD2"/>
    <w:rsid w:val="00C80962"/>
    <w:rsid w:val="00C83102"/>
    <w:rsid w:val="00C857F1"/>
    <w:rsid w:val="00C9230E"/>
    <w:rsid w:val="00CB3CE9"/>
    <w:rsid w:val="00CD6CE8"/>
    <w:rsid w:val="00CE5E3E"/>
    <w:rsid w:val="00CE7C20"/>
    <w:rsid w:val="00CF3FFA"/>
    <w:rsid w:val="00D05380"/>
    <w:rsid w:val="00D275D0"/>
    <w:rsid w:val="00D31109"/>
    <w:rsid w:val="00D74A24"/>
    <w:rsid w:val="00D82134"/>
    <w:rsid w:val="00DA3967"/>
    <w:rsid w:val="00DC457A"/>
    <w:rsid w:val="00DD7770"/>
    <w:rsid w:val="00DE649A"/>
    <w:rsid w:val="00E22EF9"/>
    <w:rsid w:val="00E42F64"/>
    <w:rsid w:val="00E66F39"/>
    <w:rsid w:val="00EB50E9"/>
    <w:rsid w:val="00EC0F48"/>
    <w:rsid w:val="00EC3DE3"/>
    <w:rsid w:val="00ED02AB"/>
    <w:rsid w:val="00F063C7"/>
    <w:rsid w:val="00F56D6B"/>
    <w:rsid w:val="00F57BA5"/>
    <w:rsid w:val="00F661CA"/>
    <w:rsid w:val="00F97548"/>
    <w:rsid w:val="00FA278A"/>
    <w:rsid w:val="00FB6E3B"/>
    <w:rsid w:val="00FC22FE"/>
    <w:rsid w:val="00FD0081"/>
    <w:rsid w:val="00FF3FF1"/>
    <w:rsid w:val="00FF5FB9"/>
    <w:rsid w:val="00FF71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0770AF"/>
  <w15:chartTrackingRefBased/>
  <w15:docId w15:val="{65101D95-58D6-4402-B659-2E287743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7F1"/>
  </w:style>
  <w:style w:type="paragraph" w:styleId="Heading1">
    <w:name w:val="heading 1"/>
    <w:basedOn w:val="Normal"/>
    <w:next w:val="Normal"/>
    <w:link w:val="Heading1Char"/>
    <w:uiPriority w:val="9"/>
    <w:qFormat/>
    <w:rsid w:val="00986A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7F1"/>
    <w:pPr>
      <w:ind w:left="720"/>
      <w:contextualSpacing/>
    </w:pPr>
    <w:rPr>
      <w:lang w:val="en-US"/>
    </w:rPr>
  </w:style>
  <w:style w:type="paragraph" w:styleId="BalloonText">
    <w:name w:val="Balloon Text"/>
    <w:basedOn w:val="Normal"/>
    <w:link w:val="BalloonTextChar"/>
    <w:uiPriority w:val="99"/>
    <w:semiHidden/>
    <w:unhideWhenUsed/>
    <w:rsid w:val="005636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68F"/>
    <w:rPr>
      <w:rFonts w:ascii="Segoe UI" w:hAnsi="Segoe UI" w:cs="Segoe UI"/>
      <w:sz w:val="18"/>
      <w:szCs w:val="18"/>
    </w:rPr>
  </w:style>
  <w:style w:type="paragraph" w:styleId="NoSpacing">
    <w:name w:val="No Spacing"/>
    <w:link w:val="NoSpacingChar"/>
    <w:uiPriority w:val="1"/>
    <w:qFormat/>
    <w:rsid w:val="00986AE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86AED"/>
    <w:rPr>
      <w:rFonts w:eastAsiaTheme="minorEastAsia"/>
      <w:lang w:val="en-US"/>
    </w:rPr>
  </w:style>
  <w:style w:type="character" w:customStyle="1" w:styleId="Heading1Char">
    <w:name w:val="Heading 1 Char"/>
    <w:basedOn w:val="DefaultParagraphFont"/>
    <w:link w:val="Heading1"/>
    <w:uiPriority w:val="9"/>
    <w:rsid w:val="00986AE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86AED"/>
    <w:pPr>
      <w:outlineLvl w:val="9"/>
    </w:pPr>
    <w:rPr>
      <w:lang w:val="en-US"/>
    </w:rPr>
  </w:style>
  <w:style w:type="paragraph" w:styleId="Header">
    <w:name w:val="header"/>
    <w:basedOn w:val="Normal"/>
    <w:link w:val="HeaderChar"/>
    <w:uiPriority w:val="99"/>
    <w:unhideWhenUsed/>
    <w:rsid w:val="00986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AED"/>
  </w:style>
  <w:style w:type="paragraph" w:styleId="Footer">
    <w:name w:val="footer"/>
    <w:basedOn w:val="Normal"/>
    <w:link w:val="FooterChar"/>
    <w:uiPriority w:val="99"/>
    <w:unhideWhenUsed/>
    <w:rsid w:val="00986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AED"/>
  </w:style>
  <w:style w:type="character" w:styleId="Hyperlink">
    <w:name w:val="Hyperlink"/>
    <w:basedOn w:val="DefaultParagraphFont"/>
    <w:uiPriority w:val="99"/>
    <w:unhideWhenUsed/>
    <w:rsid w:val="00DE649A"/>
    <w:rPr>
      <w:color w:val="0563C1" w:themeColor="hyperlink"/>
      <w:u w:val="single"/>
    </w:rPr>
  </w:style>
  <w:style w:type="paragraph" w:styleId="NormalWeb">
    <w:name w:val="Normal (Web)"/>
    <w:basedOn w:val="Normal"/>
    <w:uiPriority w:val="99"/>
    <w:semiHidden/>
    <w:unhideWhenUsed/>
    <w:rsid w:val="00DE649A"/>
    <w:pPr>
      <w:spacing w:after="0" w:line="240" w:lineRule="auto"/>
    </w:pPr>
    <w:rPr>
      <w:rFonts w:ascii="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DE64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649A"/>
    <w:rPr>
      <w:sz w:val="20"/>
      <w:szCs w:val="20"/>
    </w:rPr>
  </w:style>
  <w:style w:type="paragraph" w:styleId="Caption">
    <w:name w:val="caption"/>
    <w:basedOn w:val="Normal"/>
    <w:next w:val="Normal"/>
    <w:uiPriority w:val="35"/>
    <w:semiHidden/>
    <w:unhideWhenUsed/>
    <w:qFormat/>
    <w:rsid w:val="00DE649A"/>
    <w:pPr>
      <w:spacing w:after="200" w:line="240" w:lineRule="auto"/>
    </w:pPr>
    <w:rPr>
      <w:i/>
      <w:iCs/>
      <w:color w:val="44546A" w:themeColor="text2"/>
      <w:sz w:val="18"/>
      <w:szCs w:val="18"/>
    </w:rPr>
  </w:style>
  <w:style w:type="paragraph" w:customStyle="1" w:styleId="Default">
    <w:name w:val="Default"/>
    <w:uiPriority w:val="99"/>
    <w:rsid w:val="00DE649A"/>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iPriority w:val="99"/>
    <w:semiHidden/>
    <w:unhideWhenUsed/>
    <w:rsid w:val="00DE649A"/>
    <w:rPr>
      <w:vertAlign w:val="superscript"/>
    </w:rPr>
  </w:style>
  <w:style w:type="table" w:styleId="TableGrid">
    <w:name w:val="Table Grid"/>
    <w:basedOn w:val="TableNormal"/>
    <w:uiPriority w:val="39"/>
    <w:rsid w:val="00DE64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DE649A"/>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D31109"/>
    <w:rPr>
      <w:b/>
      <w:bCs/>
      <w:i w:val="0"/>
      <w:iCs w:val="0"/>
    </w:rPr>
  </w:style>
  <w:style w:type="character" w:customStyle="1" w:styleId="st1">
    <w:name w:val="st1"/>
    <w:basedOn w:val="DefaultParagraphFont"/>
    <w:rsid w:val="00D31109"/>
  </w:style>
  <w:style w:type="paragraph" w:customStyle="1" w:styleId="Body-White">
    <w:name w:val="Body-White"/>
    <w:basedOn w:val="Normal"/>
    <w:qFormat/>
    <w:rsid w:val="00D31109"/>
    <w:pPr>
      <w:spacing w:before="40" w:after="40" w:line="240" w:lineRule="auto"/>
    </w:pPr>
    <w:rPr>
      <w:color w:val="E7E6E6" w:themeColor="background2"/>
      <w:sz w:val="18"/>
    </w:rPr>
  </w:style>
  <w:style w:type="paragraph" w:styleId="TOC1">
    <w:name w:val="toc 1"/>
    <w:basedOn w:val="Normal"/>
    <w:next w:val="Normal"/>
    <w:autoRedefine/>
    <w:uiPriority w:val="39"/>
    <w:unhideWhenUsed/>
    <w:rsid w:val="00F063C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7464">
      <w:bodyDiv w:val="1"/>
      <w:marLeft w:val="0"/>
      <w:marRight w:val="0"/>
      <w:marTop w:val="0"/>
      <w:marBottom w:val="0"/>
      <w:divBdr>
        <w:top w:val="none" w:sz="0" w:space="0" w:color="auto"/>
        <w:left w:val="none" w:sz="0" w:space="0" w:color="auto"/>
        <w:bottom w:val="none" w:sz="0" w:space="0" w:color="auto"/>
        <w:right w:val="none" w:sz="0" w:space="0" w:color="auto"/>
      </w:divBdr>
    </w:div>
    <w:div w:id="240991317">
      <w:bodyDiv w:val="1"/>
      <w:marLeft w:val="0"/>
      <w:marRight w:val="0"/>
      <w:marTop w:val="0"/>
      <w:marBottom w:val="0"/>
      <w:divBdr>
        <w:top w:val="none" w:sz="0" w:space="0" w:color="auto"/>
        <w:left w:val="none" w:sz="0" w:space="0" w:color="auto"/>
        <w:bottom w:val="none" w:sz="0" w:space="0" w:color="auto"/>
        <w:right w:val="none" w:sz="0" w:space="0" w:color="auto"/>
      </w:divBdr>
    </w:div>
    <w:div w:id="500976006">
      <w:bodyDiv w:val="1"/>
      <w:marLeft w:val="0"/>
      <w:marRight w:val="0"/>
      <w:marTop w:val="0"/>
      <w:marBottom w:val="0"/>
      <w:divBdr>
        <w:top w:val="none" w:sz="0" w:space="0" w:color="auto"/>
        <w:left w:val="none" w:sz="0" w:space="0" w:color="auto"/>
        <w:bottom w:val="none" w:sz="0" w:space="0" w:color="auto"/>
        <w:right w:val="none" w:sz="0" w:space="0" w:color="auto"/>
      </w:divBdr>
    </w:div>
    <w:div w:id="525216080">
      <w:bodyDiv w:val="1"/>
      <w:marLeft w:val="0"/>
      <w:marRight w:val="0"/>
      <w:marTop w:val="0"/>
      <w:marBottom w:val="0"/>
      <w:divBdr>
        <w:top w:val="none" w:sz="0" w:space="0" w:color="auto"/>
        <w:left w:val="none" w:sz="0" w:space="0" w:color="auto"/>
        <w:bottom w:val="none" w:sz="0" w:space="0" w:color="auto"/>
        <w:right w:val="none" w:sz="0" w:space="0" w:color="auto"/>
      </w:divBdr>
    </w:div>
    <w:div w:id="1016924661">
      <w:bodyDiv w:val="1"/>
      <w:marLeft w:val="0"/>
      <w:marRight w:val="0"/>
      <w:marTop w:val="0"/>
      <w:marBottom w:val="0"/>
      <w:divBdr>
        <w:top w:val="none" w:sz="0" w:space="0" w:color="auto"/>
        <w:left w:val="none" w:sz="0" w:space="0" w:color="auto"/>
        <w:bottom w:val="none" w:sz="0" w:space="0" w:color="auto"/>
        <w:right w:val="none" w:sz="0" w:space="0" w:color="auto"/>
      </w:divBdr>
    </w:div>
    <w:div w:id="1023281964">
      <w:bodyDiv w:val="1"/>
      <w:marLeft w:val="0"/>
      <w:marRight w:val="0"/>
      <w:marTop w:val="0"/>
      <w:marBottom w:val="0"/>
      <w:divBdr>
        <w:top w:val="none" w:sz="0" w:space="0" w:color="auto"/>
        <w:left w:val="none" w:sz="0" w:space="0" w:color="auto"/>
        <w:bottom w:val="none" w:sz="0" w:space="0" w:color="auto"/>
        <w:right w:val="none" w:sz="0" w:space="0" w:color="auto"/>
      </w:divBdr>
    </w:div>
    <w:div w:id="1174492843">
      <w:bodyDiv w:val="1"/>
      <w:marLeft w:val="0"/>
      <w:marRight w:val="0"/>
      <w:marTop w:val="0"/>
      <w:marBottom w:val="0"/>
      <w:divBdr>
        <w:top w:val="none" w:sz="0" w:space="0" w:color="auto"/>
        <w:left w:val="none" w:sz="0" w:space="0" w:color="auto"/>
        <w:bottom w:val="none" w:sz="0" w:space="0" w:color="auto"/>
        <w:right w:val="none" w:sz="0" w:space="0" w:color="auto"/>
      </w:divBdr>
    </w:div>
    <w:div w:id="1187906730">
      <w:bodyDiv w:val="1"/>
      <w:marLeft w:val="0"/>
      <w:marRight w:val="0"/>
      <w:marTop w:val="0"/>
      <w:marBottom w:val="0"/>
      <w:divBdr>
        <w:top w:val="none" w:sz="0" w:space="0" w:color="auto"/>
        <w:left w:val="none" w:sz="0" w:space="0" w:color="auto"/>
        <w:bottom w:val="none" w:sz="0" w:space="0" w:color="auto"/>
        <w:right w:val="none" w:sz="0" w:space="0" w:color="auto"/>
      </w:divBdr>
    </w:div>
    <w:div w:id="1333799654">
      <w:bodyDiv w:val="1"/>
      <w:marLeft w:val="0"/>
      <w:marRight w:val="0"/>
      <w:marTop w:val="0"/>
      <w:marBottom w:val="0"/>
      <w:divBdr>
        <w:top w:val="none" w:sz="0" w:space="0" w:color="auto"/>
        <w:left w:val="none" w:sz="0" w:space="0" w:color="auto"/>
        <w:bottom w:val="none" w:sz="0" w:space="0" w:color="auto"/>
        <w:right w:val="none" w:sz="0" w:space="0" w:color="auto"/>
      </w:divBdr>
    </w:div>
    <w:div w:id="1641183000">
      <w:bodyDiv w:val="1"/>
      <w:marLeft w:val="0"/>
      <w:marRight w:val="0"/>
      <w:marTop w:val="0"/>
      <w:marBottom w:val="0"/>
      <w:divBdr>
        <w:top w:val="none" w:sz="0" w:space="0" w:color="auto"/>
        <w:left w:val="none" w:sz="0" w:space="0" w:color="auto"/>
        <w:bottom w:val="none" w:sz="0" w:space="0" w:color="auto"/>
        <w:right w:val="none" w:sz="0" w:space="0" w:color="auto"/>
      </w:divBdr>
    </w:div>
    <w:div w:id="1693527250">
      <w:bodyDiv w:val="1"/>
      <w:marLeft w:val="0"/>
      <w:marRight w:val="0"/>
      <w:marTop w:val="0"/>
      <w:marBottom w:val="0"/>
      <w:divBdr>
        <w:top w:val="none" w:sz="0" w:space="0" w:color="auto"/>
        <w:left w:val="none" w:sz="0" w:space="0" w:color="auto"/>
        <w:bottom w:val="none" w:sz="0" w:space="0" w:color="auto"/>
        <w:right w:val="none" w:sz="0" w:space="0" w:color="auto"/>
      </w:divBdr>
    </w:div>
    <w:div w:id="1805005058">
      <w:bodyDiv w:val="1"/>
      <w:marLeft w:val="0"/>
      <w:marRight w:val="0"/>
      <w:marTop w:val="0"/>
      <w:marBottom w:val="0"/>
      <w:divBdr>
        <w:top w:val="none" w:sz="0" w:space="0" w:color="auto"/>
        <w:left w:val="none" w:sz="0" w:space="0" w:color="auto"/>
        <w:bottom w:val="none" w:sz="0" w:space="0" w:color="auto"/>
        <w:right w:val="none" w:sz="0" w:space="0" w:color="auto"/>
      </w:divBdr>
    </w:div>
    <w:div w:id="213366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ederation.edu.au/schools/school-of-education/research/research-groups/rave-researching-adult-and-vocational-educatio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smith@federation.edu.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4815F6890215468B6CC719571F9B45" ma:contentTypeVersion="8" ma:contentTypeDescription="Create a new document." ma:contentTypeScope="" ma:versionID="a17d88b6e04032f382f6ee09297fc803">
  <xsd:schema xmlns:xsd="http://www.w3.org/2001/XMLSchema" xmlns:xs="http://www.w3.org/2001/XMLSchema" xmlns:p="http://schemas.microsoft.com/office/2006/metadata/properties" xmlns:ns3="0342cbb5-ea8c-42d5-bfa3-1642d3dab667" targetNamespace="http://schemas.microsoft.com/office/2006/metadata/properties" ma:root="true" ma:fieldsID="10f3d5086073144a768c695dcb6f5a1d" ns3:_="">
    <xsd:import namespace="0342cbb5-ea8c-42d5-bfa3-1642d3dab6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2cbb5-ea8c-42d5-bfa3-1642d3dab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2DFFC-A12F-4674-A3B9-F8404D474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2cbb5-ea8c-42d5-bfa3-1642d3dab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F0FC7-097F-4A27-9022-D762211DC412}">
  <ds:schemaRefs>
    <ds:schemaRef ds:uri="http://schemas.microsoft.com/sharepoint/v3/contenttype/forms"/>
  </ds:schemaRefs>
</ds:datastoreItem>
</file>

<file path=customXml/itemProps3.xml><?xml version="1.0" encoding="utf-8"?>
<ds:datastoreItem xmlns:ds="http://schemas.openxmlformats.org/officeDocument/2006/customXml" ds:itemID="{FDCBF27A-821E-40E6-8B04-AE1BEC614C6C}">
  <ds:schemaRef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0342cbb5-ea8c-42d5-bfa3-1642d3dab667"/>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90BF19F-7228-4FE2-88D0-33226690D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1677</Words>
  <Characters>9730</Characters>
  <Application>Microsoft Office Word</Application>
  <DocSecurity>0</DocSecurity>
  <Lines>159</Lines>
  <Paragraphs>50</Paragraphs>
  <ScaleCrop>false</ScaleCrop>
  <HeadingPairs>
    <vt:vector size="2" baseType="variant">
      <vt:variant>
        <vt:lpstr>Title</vt:lpstr>
      </vt:variant>
      <vt:variant>
        <vt:i4>1</vt:i4>
      </vt:variant>
    </vt:vector>
  </HeadingPairs>
  <TitlesOfParts>
    <vt:vector size="1" baseType="lpstr">
      <vt:lpstr/>
    </vt:vector>
  </TitlesOfParts>
  <Company>Federation University Australia</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EricaSmith</dc:creator>
  <cp:keywords/>
  <dc:description/>
  <cp:lastModifiedBy>Erica Smith</cp:lastModifiedBy>
  <cp:revision>10</cp:revision>
  <cp:lastPrinted>2019-11-17T07:15:00Z</cp:lastPrinted>
  <dcterms:created xsi:type="dcterms:W3CDTF">2019-11-17T03:26:00Z</dcterms:created>
  <dcterms:modified xsi:type="dcterms:W3CDTF">2019-12-05T07:18:00Z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0x010100E94815F6890215468B6CC719571F9B45</vt:lpwstr>
  </property>
</Properties>
</file>